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hint="eastAsia" w:ascii="仿宋" w:hAnsi="仿宋" w:eastAsia="仿宋" w:cs="仿宋"/>
          <w:color w:val="auto"/>
          <w:highlight w:val="none"/>
        </w:rPr>
      </w:pPr>
    </w:p>
    <w:p>
      <w:pPr>
        <w:ind w:firstLine="480"/>
        <w:jc w:val="right"/>
        <w:rPr>
          <w:rFonts w:hint="eastAsia" w:ascii="仿宋" w:hAnsi="仿宋" w:eastAsia="仿宋" w:cs="仿宋"/>
          <w:color w:val="auto"/>
          <w:highlight w:val="none"/>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3"/>
                    <a:stretch>
                      <a:fillRect/>
                    </a:stretch>
                  </pic:blipFill>
                  <pic:spPr>
                    <a:xfrm>
                      <a:off x="0" y="0"/>
                      <a:ext cx="1483360" cy="878205"/>
                    </a:xfrm>
                    <a:prstGeom prst="rect">
                      <a:avLst/>
                    </a:prstGeom>
                    <a:noFill/>
                    <a:ln>
                      <a:noFill/>
                    </a:ln>
                  </pic:spPr>
                </pic:pic>
              </a:graphicData>
            </a:graphic>
          </wp:inline>
        </w:drawing>
      </w:r>
    </w:p>
    <w:p>
      <w:pPr>
        <w:ind w:firstLine="480"/>
        <w:rPr>
          <w:rFonts w:hint="eastAsia" w:ascii="仿宋" w:hAnsi="仿宋" w:eastAsia="仿宋" w:cs="仿宋"/>
          <w:color w:val="auto"/>
          <w:highlight w:val="none"/>
        </w:rPr>
      </w:pPr>
    </w:p>
    <w:p>
      <w:pPr>
        <w:ind w:firstLine="0" w:firstLineChars="0"/>
        <w:jc w:val="center"/>
        <w:rPr>
          <w:rFonts w:hint="eastAsia" w:ascii="仿宋" w:hAnsi="仿宋" w:eastAsia="仿宋" w:cs="仿宋"/>
          <w:b/>
          <w:color w:val="auto"/>
          <w:sz w:val="48"/>
          <w:szCs w:val="48"/>
          <w:highlight w:val="none"/>
        </w:rPr>
      </w:pPr>
      <w:r>
        <w:rPr>
          <w:rFonts w:hint="eastAsia" w:ascii="仿宋" w:hAnsi="仿宋" w:cs="仿宋"/>
          <w:b/>
          <w:bCs/>
          <w:color w:val="auto"/>
          <w:sz w:val="48"/>
          <w:szCs w:val="48"/>
          <w:highlight w:val="none"/>
          <w:lang w:eastAsia="zh-CN"/>
        </w:rPr>
        <w:t>山东第一医科大学（山东省医学科学院）双高计划放射肿瘤学建设科研设备购置</w:t>
      </w:r>
      <w:r>
        <w:rPr>
          <w:rFonts w:hint="eastAsia" w:ascii="仿宋" w:hAnsi="仿宋" w:eastAsia="仿宋" w:cs="仿宋"/>
          <w:b/>
          <w:color w:val="auto"/>
          <w:sz w:val="48"/>
          <w:szCs w:val="48"/>
          <w:highlight w:val="none"/>
        </w:rPr>
        <w:t>公开招标文件</w:t>
      </w:r>
    </w:p>
    <w:p>
      <w:pPr>
        <w:ind w:firstLine="243" w:firstLineChars="55"/>
        <w:jc w:val="center"/>
        <w:rPr>
          <w:rFonts w:hint="eastAsia" w:ascii="仿宋" w:hAnsi="仿宋" w:eastAsia="仿宋" w:cs="仿宋"/>
          <w:b/>
          <w:color w:val="auto"/>
          <w:sz w:val="44"/>
          <w:szCs w:val="44"/>
          <w:highlight w:val="none"/>
        </w:rPr>
      </w:pPr>
    </w:p>
    <w:p>
      <w:pPr>
        <w:ind w:left="0" w:leftChars="0" w:firstLine="0" w:firstLineChars="0"/>
        <w:rPr>
          <w:rFonts w:hint="eastAsia" w:ascii="仿宋" w:hAnsi="仿宋" w:eastAsia="仿宋" w:cs="仿宋"/>
          <w:color w:val="auto"/>
          <w:highlight w:val="none"/>
        </w:rPr>
      </w:pPr>
    </w:p>
    <w:p>
      <w:pPr>
        <w:ind w:firstLine="199" w:firstLineChars="55"/>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项目编号：SDGP370000000202302003858</w:t>
      </w:r>
    </w:p>
    <w:p>
      <w:pPr>
        <w:ind w:firstLine="199" w:firstLineChars="55"/>
        <w:jc w:val="center"/>
        <w:rPr>
          <w:rFonts w:hint="default" w:ascii="仿宋" w:hAnsi="仿宋" w:eastAsia="仿宋" w:cs="仿宋"/>
          <w:b/>
          <w:color w:val="auto"/>
          <w:sz w:val="36"/>
          <w:szCs w:val="36"/>
          <w:highlight w:val="none"/>
          <w:u w:val="single"/>
          <w:lang w:val="en-US" w:eastAsia="zh-CN"/>
        </w:rPr>
      </w:pPr>
      <w:r>
        <w:rPr>
          <w:rFonts w:hint="eastAsia" w:ascii="仿宋" w:hAnsi="仿宋" w:cs="仿宋"/>
          <w:b/>
          <w:color w:val="auto"/>
          <w:sz w:val="36"/>
          <w:szCs w:val="36"/>
          <w:highlight w:val="none"/>
          <w:lang w:eastAsia="zh-CN"/>
        </w:rPr>
        <w:t>/sdhryw2023103</w:t>
      </w:r>
    </w:p>
    <w:p>
      <w:pPr>
        <w:pStyle w:val="3"/>
        <w:ind w:left="0" w:leftChars="0" w:right="-42" w:firstLine="482"/>
        <w:rPr>
          <w:rFonts w:hint="eastAsia" w:ascii="仿宋" w:hAnsi="仿宋" w:eastAsia="仿宋" w:cs="仿宋"/>
          <w:b/>
          <w:bCs/>
          <w:color w:val="auto"/>
          <w:sz w:val="24"/>
          <w:szCs w:val="24"/>
          <w:highlight w:val="none"/>
        </w:rPr>
      </w:pPr>
    </w:p>
    <w:p>
      <w:pPr>
        <w:ind w:firstLine="723"/>
        <w:jc w:val="center"/>
        <w:rPr>
          <w:rFonts w:hint="eastAsia" w:ascii="仿宋" w:hAnsi="仿宋" w:eastAsia="仿宋" w:cs="仿宋"/>
          <w:b/>
          <w:bCs/>
          <w:color w:val="auto"/>
          <w:szCs w:val="24"/>
          <w:highlight w:val="none"/>
        </w:rPr>
      </w:pPr>
      <w:r>
        <w:rPr>
          <w:rFonts w:hint="eastAsia" w:ascii="仿宋" w:hAnsi="仿宋" w:eastAsia="仿宋" w:cs="仿宋"/>
          <w:b/>
          <w:bCs/>
          <w:color w:val="auto"/>
          <w:sz w:val="36"/>
          <w:szCs w:val="36"/>
          <w:highlight w:val="none"/>
        </w:rPr>
        <w:t>（第二册 项目专用部分）</w:t>
      </w:r>
    </w:p>
    <w:p>
      <w:pPr>
        <w:ind w:firstLine="482"/>
        <w:jc w:val="center"/>
        <w:rPr>
          <w:rFonts w:hint="eastAsia" w:ascii="仿宋" w:hAnsi="仿宋" w:eastAsia="仿宋" w:cs="仿宋"/>
          <w:b/>
          <w:bCs/>
          <w:color w:val="auto"/>
          <w:szCs w:val="24"/>
          <w:highlight w:val="none"/>
        </w:rPr>
      </w:pPr>
    </w:p>
    <w:p>
      <w:pPr>
        <w:ind w:firstLine="482"/>
        <w:jc w:val="center"/>
        <w:rPr>
          <w:rFonts w:hint="eastAsia" w:ascii="仿宋" w:hAnsi="仿宋" w:eastAsia="仿宋" w:cs="仿宋"/>
          <w:b/>
          <w:bCs/>
          <w:color w:val="auto"/>
          <w:szCs w:val="24"/>
          <w:highlight w:val="none"/>
        </w:rPr>
      </w:pPr>
    </w:p>
    <w:p>
      <w:pPr>
        <w:ind w:left="0" w:leftChars="0" w:firstLine="0" w:firstLineChars="0"/>
        <w:jc w:val="both"/>
        <w:rPr>
          <w:rFonts w:hint="eastAsia" w:ascii="仿宋" w:hAnsi="仿宋" w:eastAsia="仿宋" w:cs="仿宋"/>
          <w:b/>
          <w:bCs/>
          <w:color w:val="auto"/>
          <w:szCs w:val="24"/>
          <w:highlight w:val="none"/>
        </w:rPr>
      </w:pPr>
    </w:p>
    <w:p>
      <w:pPr>
        <w:ind w:firstLine="482"/>
        <w:jc w:val="center"/>
        <w:rPr>
          <w:rFonts w:hint="eastAsia" w:ascii="仿宋" w:hAnsi="仿宋" w:eastAsia="仿宋" w:cs="仿宋"/>
          <w:b/>
          <w:bCs/>
          <w:color w:val="auto"/>
          <w:szCs w:val="24"/>
          <w:highlight w:val="none"/>
        </w:rPr>
      </w:pPr>
    </w:p>
    <w:p>
      <w:pPr>
        <w:ind w:firstLine="0" w:firstLineChars="0"/>
        <w:rPr>
          <w:rFonts w:hint="eastAsia" w:ascii="仿宋" w:hAnsi="仿宋" w:eastAsia="仿宋" w:cs="仿宋"/>
          <w:b/>
          <w:color w:val="auto"/>
          <w:sz w:val="36"/>
          <w:szCs w:val="36"/>
          <w:highlight w:val="none"/>
        </w:rPr>
      </w:pPr>
      <w:r>
        <w:rPr>
          <w:rFonts w:hint="eastAsia" w:ascii="仿宋" w:hAnsi="仿宋" w:eastAsia="仿宋" w:cs="仿宋"/>
          <w:b/>
          <w:bCs/>
          <w:color w:val="auto"/>
          <w:szCs w:val="24"/>
          <w:highlight w:val="none"/>
        </w:rPr>
        <w:t xml:space="preserve">  </w:t>
      </w:r>
    </w:p>
    <w:p>
      <w:pPr>
        <w:ind w:left="1440" w:leftChars="600" w:firstLine="0" w:firstLineChars="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采   购   人：</w:t>
      </w:r>
      <w:r>
        <w:rPr>
          <w:rFonts w:hint="eastAsia" w:ascii="仿宋" w:hAnsi="仿宋" w:eastAsia="仿宋" w:cs="仿宋"/>
          <w:b/>
          <w:bCs/>
          <w:color w:val="auto"/>
          <w:sz w:val="36"/>
          <w:szCs w:val="36"/>
          <w:highlight w:val="none"/>
          <w:u w:val="single"/>
          <w:lang w:eastAsia="zh-CN"/>
        </w:rPr>
        <w:t>山东第一医科大学（山东省医学科学院）</w:t>
      </w:r>
    </w:p>
    <w:p>
      <w:pPr>
        <w:ind w:firstLine="1446" w:firstLineChars="40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采购代理机构：</w:t>
      </w:r>
      <w:r>
        <w:rPr>
          <w:rFonts w:hint="eastAsia" w:ascii="仿宋" w:hAnsi="仿宋" w:eastAsia="仿宋" w:cs="仿宋"/>
          <w:b/>
          <w:color w:val="auto"/>
          <w:sz w:val="36"/>
          <w:szCs w:val="36"/>
          <w:highlight w:val="none"/>
          <w:u w:val="single"/>
          <w:lang w:eastAsia="zh-CN"/>
        </w:rPr>
        <w:t>山东华仁永旺招标有限公司</w:t>
      </w:r>
    </w:p>
    <w:p>
      <w:pPr>
        <w:ind w:firstLine="1446" w:firstLineChars="400"/>
        <w:rPr>
          <w:rFonts w:hint="eastAsia" w:ascii="仿宋" w:hAnsi="仿宋" w:eastAsia="仿宋" w:cs="仿宋"/>
          <w:b/>
          <w:color w:val="auto"/>
          <w:sz w:val="36"/>
          <w:szCs w:val="36"/>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color w:val="auto"/>
          <w:sz w:val="36"/>
          <w:szCs w:val="36"/>
          <w:highlight w:val="none"/>
        </w:rPr>
        <w:t>日        期：</w:t>
      </w:r>
      <w:r>
        <w:rPr>
          <w:rFonts w:hint="eastAsia" w:ascii="仿宋" w:hAnsi="仿宋" w:eastAsia="仿宋" w:cs="仿宋"/>
          <w:b/>
          <w:color w:val="auto"/>
          <w:sz w:val="36"/>
          <w:szCs w:val="36"/>
          <w:highlight w:val="none"/>
          <w:u w:val="single"/>
        </w:rPr>
        <w:t>二〇二</w:t>
      </w:r>
      <w:r>
        <w:rPr>
          <w:rFonts w:hint="eastAsia" w:ascii="仿宋" w:hAnsi="仿宋" w:cs="仿宋"/>
          <w:b/>
          <w:color w:val="auto"/>
          <w:sz w:val="36"/>
          <w:szCs w:val="36"/>
          <w:highlight w:val="none"/>
          <w:u w:val="single"/>
          <w:lang w:eastAsia="zh-CN"/>
        </w:rPr>
        <w:t>三</w:t>
      </w:r>
      <w:r>
        <w:rPr>
          <w:rFonts w:hint="eastAsia" w:ascii="仿宋" w:hAnsi="仿宋" w:eastAsia="仿宋" w:cs="仿宋"/>
          <w:b/>
          <w:color w:val="auto"/>
          <w:sz w:val="36"/>
          <w:szCs w:val="36"/>
          <w:highlight w:val="none"/>
          <w:u w:val="single"/>
        </w:rPr>
        <w:t>年</w:t>
      </w:r>
      <w:r>
        <w:rPr>
          <w:rFonts w:hint="eastAsia" w:ascii="仿宋" w:hAnsi="仿宋" w:cs="仿宋"/>
          <w:b/>
          <w:color w:val="auto"/>
          <w:sz w:val="36"/>
          <w:szCs w:val="36"/>
          <w:highlight w:val="none"/>
          <w:u w:val="single"/>
          <w:lang w:eastAsia="zh-CN"/>
        </w:rPr>
        <w:t>七</w:t>
      </w:r>
      <w:r>
        <w:rPr>
          <w:rFonts w:hint="eastAsia" w:ascii="仿宋" w:hAnsi="仿宋" w:eastAsia="仿宋" w:cs="仿宋"/>
          <w:b/>
          <w:color w:val="auto"/>
          <w:sz w:val="36"/>
          <w:szCs w:val="36"/>
          <w:highlight w:val="none"/>
          <w:u w:val="single"/>
        </w:rPr>
        <w:t>月</w:t>
      </w:r>
    </w:p>
    <w:p>
      <w:pPr>
        <w:pStyle w:val="33"/>
        <w:ind w:firstLine="0" w:firstLineChars="0"/>
        <w:jc w:val="center"/>
        <w:rPr>
          <w:rFonts w:hint="eastAsia" w:ascii="仿宋" w:hAnsi="仿宋" w:eastAsia="仿宋" w:cs="仿宋"/>
          <w:b/>
          <w:color w:val="auto"/>
          <w:sz w:val="32"/>
          <w:szCs w:val="28"/>
          <w:highlight w:val="none"/>
        </w:rPr>
      </w:pPr>
      <w:r>
        <w:rPr>
          <w:rFonts w:hint="eastAsia" w:ascii="仿宋" w:hAnsi="仿宋" w:eastAsia="仿宋" w:cs="仿宋"/>
          <w:b/>
          <w:color w:val="auto"/>
          <w:sz w:val="32"/>
          <w:szCs w:val="28"/>
          <w:highlight w:val="none"/>
        </w:rPr>
        <w:t>目  录</w:t>
      </w:r>
    </w:p>
    <w:p>
      <w:pPr>
        <w:pStyle w:val="33"/>
        <w:spacing w:line="360" w:lineRule="auto"/>
        <w:ind w:firstLine="0" w:firstLineChars="0"/>
        <w:rPr>
          <w:rFonts w:hint="eastAsia" w:ascii="仿宋" w:hAnsi="仿宋" w:eastAsia="仿宋" w:cs="仿宋"/>
          <w:b/>
          <w:color w:val="auto"/>
          <w:sz w:val="28"/>
          <w:szCs w:val="28"/>
          <w:highlight w:val="none"/>
        </w:rPr>
      </w:pPr>
      <w:bookmarkStart w:id="0" w:name="_Toc106784518"/>
      <w:r>
        <w:rPr>
          <w:rFonts w:hint="eastAsia" w:ascii="仿宋" w:hAnsi="仿宋" w:eastAsia="仿宋" w:cs="仿宋"/>
          <w:b/>
          <w:color w:val="auto"/>
          <w:sz w:val="28"/>
          <w:szCs w:val="28"/>
          <w:highlight w:val="none"/>
        </w:rPr>
        <w:t>第一册  通用部分</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第一部分   投标人须知</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第二部分   政府采购合同格式</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第三部分   投标文件格式</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第四部分   附件</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spacing w:line="360" w:lineRule="auto"/>
        <w:ind w:firstLine="0" w:firstLineChars="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第二册  项目专用部分（本册）</w:t>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TOC \o "1-2" \h \z \u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"_Toc106784591"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第五部分 投标邀请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"_Toc106784592"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第六部分投标人须知附表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"_Toc106784593"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第七部分评标方法和评分细则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1"/>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"_Toc106784594"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一、评标方法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1"/>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"_Toc106784595"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二、评分细则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1"/>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"_Toc106784596"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三、初步审查属于无效投标的条款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"_Toc106784597"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第八部分技术要求及说明</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33"/>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fldChar w:fldCharType="end"/>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pStyle w:val="33"/>
        <w:ind w:firstLine="0" w:firstLineChars="0"/>
        <w:jc w:val="center"/>
        <w:outlineLvl w:val="0"/>
        <w:rPr>
          <w:rFonts w:hint="eastAsia" w:ascii="仿宋" w:hAnsi="仿宋" w:eastAsia="仿宋" w:cs="仿宋"/>
          <w:b/>
          <w:color w:val="auto"/>
          <w:sz w:val="32"/>
          <w:szCs w:val="32"/>
          <w:highlight w:val="none"/>
        </w:rPr>
      </w:pPr>
      <w:bookmarkStart w:id="1" w:name="_Toc106784591"/>
      <w:r>
        <w:rPr>
          <w:rFonts w:hint="eastAsia" w:ascii="仿宋" w:hAnsi="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第五部分 投标邀请</w:t>
      </w:r>
      <w:bookmarkEnd w:id="0"/>
      <w:bookmarkEnd w:id="1"/>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lang w:eastAsia="zh-CN"/>
        </w:rPr>
        <w:t>山东华仁永旺招标有限公司</w:t>
      </w:r>
      <w:r>
        <w:rPr>
          <w:rFonts w:hint="eastAsia" w:ascii="仿宋" w:hAnsi="仿宋" w:eastAsia="仿宋" w:cs="仿宋"/>
          <w:color w:val="auto"/>
          <w:highlight w:val="none"/>
        </w:rPr>
        <w:t>（以下简称采购代理机构）受</w:t>
      </w:r>
      <w:r>
        <w:rPr>
          <w:rFonts w:hint="eastAsia" w:ascii="仿宋" w:hAnsi="仿宋" w:eastAsia="仿宋" w:cs="仿宋"/>
          <w:color w:val="auto"/>
          <w:highlight w:val="none"/>
          <w:lang w:eastAsia="zh-CN"/>
        </w:rPr>
        <w:t>山东第一医科大学（山东省医学科学院）</w:t>
      </w:r>
      <w:r>
        <w:rPr>
          <w:rFonts w:hint="eastAsia" w:ascii="仿宋" w:hAnsi="仿宋" w:eastAsia="仿宋" w:cs="仿宋"/>
          <w:color w:val="auto"/>
          <w:highlight w:val="none"/>
        </w:rPr>
        <w:t>的委托，对“</w:t>
      </w:r>
      <w:r>
        <w:rPr>
          <w:rFonts w:hint="eastAsia" w:ascii="仿宋" w:hAnsi="仿宋" w:cs="仿宋"/>
          <w:bCs/>
          <w:color w:val="auto"/>
          <w:highlight w:val="none"/>
          <w:lang w:eastAsia="zh-CN"/>
        </w:rPr>
        <w:t>山东第一医科大学（山东省医学科学院）双高计划放射肿瘤学建设科研设备购置</w:t>
      </w:r>
      <w:r>
        <w:rPr>
          <w:rFonts w:hint="eastAsia" w:ascii="仿宋" w:hAnsi="仿宋" w:eastAsia="仿宋" w:cs="仿宋"/>
          <w:color w:val="auto"/>
          <w:highlight w:val="none"/>
        </w:rPr>
        <w:t>”货物及其他相关服务进行国内公开招标，欢迎符合条件的合格投标人参与投标。</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一、项目名称及编号</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项目名称：</w:t>
      </w:r>
      <w:r>
        <w:rPr>
          <w:rFonts w:hint="eastAsia" w:ascii="仿宋" w:hAnsi="仿宋" w:cs="仿宋"/>
          <w:bCs/>
          <w:color w:val="auto"/>
          <w:highlight w:val="none"/>
          <w:lang w:eastAsia="zh-CN"/>
        </w:rPr>
        <w:t>山东第一医科大学（山东省医学科学院）双高计划放射肿瘤学建设科研设备购置</w:t>
      </w:r>
    </w:p>
    <w:p>
      <w:pPr>
        <w:pStyle w:val="33"/>
        <w:spacing w:line="360" w:lineRule="auto"/>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rPr>
        <w:t>项目编号：SDGP370000000202302003858</w:t>
      </w:r>
      <w:r>
        <w:rPr>
          <w:rFonts w:hint="eastAsia" w:ascii="仿宋" w:hAnsi="仿宋" w:cs="仿宋"/>
          <w:color w:val="auto"/>
          <w:highlight w:val="none"/>
          <w:lang w:eastAsia="zh-CN"/>
        </w:rPr>
        <w:t>/sdhryw2023103</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二、采购内容及分包</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1、采购内容：</w:t>
      </w:r>
      <w:r>
        <w:rPr>
          <w:rFonts w:hint="eastAsia" w:ascii="仿宋" w:hAnsi="仿宋" w:cs="仿宋"/>
          <w:bCs/>
          <w:color w:val="auto"/>
          <w:highlight w:val="none"/>
          <w:lang w:eastAsia="zh-CN"/>
        </w:rPr>
        <w:t>山东第一医科大学（山东省医学科学院）双高计划放射肿瘤学建设科研设备购置</w:t>
      </w:r>
      <w:r>
        <w:rPr>
          <w:rFonts w:hint="eastAsia" w:ascii="仿宋" w:hAnsi="仿宋" w:eastAsia="仿宋" w:cs="仿宋"/>
          <w:color w:val="auto"/>
          <w:highlight w:val="none"/>
        </w:rPr>
        <w:t>，包括拟采购设备的供货、运输、安装调试及售后服务等。</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2、分包情况：共</w:t>
      </w:r>
      <w:r>
        <w:rPr>
          <w:rFonts w:hint="eastAsia" w:ascii="仿宋" w:hAnsi="仿宋" w:cs="仿宋"/>
          <w:color w:val="auto"/>
          <w:highlight w:val="none"/>
          <w:lang w:val="en-US" w:eastAsia="zh-CN"/>
        </w:rPr>
        <w:t>2</w:t>
      </w:r>
      <w:r>
        <w:rPr>
          <w:rFonts w:hint="eastAsia" w:ascii="仿宋" w:hAnsi="仿宋" w:eastAsia="仿宋" w:cs="仿宋"/>
          <w:color w:val="auto"/>
          <w:highlight w:val="none"/>
        </w:rPr>
        <w:t>个包，</w:t>
      </w:r>
      <w:r>
        <w:rPr>
          <w:rFonts w:hint="eastAsia" w:ascii="仿宋" w:hAnsi="仿宋" w:eastAsia="仿宋" w:cs="仿宋"/>
          <w:bCs/>
          <w:color w:val="auto"/>
          <w:szCs w:val="24"/>
          <w:highlight w:val="none"/>
        </w:rPr>
        <w:t>分包内不允许拆包后投标</w:t>
      </w:r>
      <w:r>
        <w:rPr>
          <w:rFonts w:hint="eastAsia" w:ascii="仿宋" w:hAnsi="仿宋" w:eastAsia="仿宋" w:cs="仿宋"/>
          <w:color w:val="auto"/>
          <w:highlight w:val="none"/>
        </w:rPr>
        <w:t>。具体分包及技术、服务要求详见“第八部分技术要求及说明”。</w:t>
      </w:r>
    </w:p>
    <w:tbl>
      <w:tblPr>
        <w:tblStyle w:val="23"/>
        <w:tblpPr w:leftFromText="180" w:rightFromText="180" w:vertAnchor="text" w:horzAnchor="page" w:tblpXSpec="center" w:tblpY="254"/>
        <w:tblOverlap w:val="never"/>
        <w:tblW w:w="56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0"/>
        <w:gridCol w:w="1887"/>
        <w:gridCol w:w="1682"/>
        <w:gridCol w:w="1885"/>
        <w:gridCol w:w="4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51" w:type="pct"/>
            <w:noWrap w:val="0"/>
            <w:vAlign w:val="center"/>
          </w:tcPr>
          <w:p>
            <w:pPr>
              <w:spacing w:line="360" w:lineRule="auto"/>
              <w:ind w:left="0" w:leftChars="0" w:right="240" w:firstLine="0" w:firstLineChars="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包号</w:t>
            </w:r>
          </w:p>
        </w:tc>
        <w:tc>
          <w:tcPr>
            <w:tcW w:w="872"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货物名称</w:t>
            </w:r>
          </w:p>
        </w:tc>
        <w:tc>
          <w:tcPr>
            <w:tcW w:w="777"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r>
              <w:rPr>
                <w:rFonts w:hint="eastAsia" w:ascii="仿宋" w:hAnsi="仿宋" w:eastAsia="仿宋" w:cs="仿宋"/>
                <w:color w:val="auto"/>
                <w:sz w:val="24"/>
                <w:szCs w:val="24"/>
                <w:highlight w:val="none"/>
                <w:lang w:eastAsia="zh-CN"/>
              </w:rPr>
              <w:t>宗</w:t>
            </w:r>
            <w:r>
              <w:rPr>
                <w:rFonts w:hint="eastAsia" w:ascii="仿宋" w:hAnsi="仿宋" w:eastAsia="仿宋" w:cs="仿宋"/>
                <w:color w:val="auto"/>
                <w:sz w:val="24"/>
                <w:szCs w:val="24"/>
                <w:highlight w:val="none"/>
              </w:rPr>
              <w:t>）</w:t>
            </w:r>
          </w:p>
        </w:tc>
        <w:tc>
          <w:tcPr>
            <w:tcW w:w="871"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预算（万元）</w:t>
            </w:r>
          </w:p>
        </w:tc>
        <w:tc>
          <w:tcPr>
            <w:tcW w:w="2128" w:type="pct"/>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23" w:hRule="atLeast"/>
          <w:jc w:val="center"/>
        </w:trPr>
        <w:tc>
          <w:tcPr>
            <w:tcW w:w="351" w:type="pct"/>
            <w:noWrap w:val="0"/>
            <w:vAlign w:val="center"/>
          </w:tcPr>
          <w:p>
            <w:pPr>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A</w:t>
            </w:r>
          </w:p>
        </w:tc>
        <w:tc>
          <w:tcPr>
            <w:tcW w:w="872" w:type="pc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SRS三维立体质控系统</w:t>
            </w:r>
          </w:p>
        </w:tc>
        <w:tc>
          <w:tcPr>
            <w:tcW w:w="777"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1" w:type="pct"/>
            <w:noWrap w:val="0"/>
            <w:vAlign w:val="center"/>
          </w:tcPr>
          <w:p>
            <w:pPr>
              <w:widowControl/>
              <w:ind w:left="0" w:leftChars="0" w:firstLine="0" w:firstLineChars="0"/>
              <w:jc w:val="center"/>
              <w:textAlignment w:val="bottom"/>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140</w:t>
            </w:r>
          </w:p>
        </w:tc>
        <w:tc>
          <w:tcPr>
            <w:tcW w:w="2128" w:type="pct"/>
            <w:vMerge w:val="restar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符合《中华人民共和国政府采购法》第二十二条规定；2、在“信用中国”网站（www.creditchina.gov.cn）、“信用中国（山东）”网站（www.creditsd.gov.cn）、“中国政府采购网”网站（www.ccgp.gov.cn）中被列入失信被执行人、重大税收违法案件当事人名单、政府采购严重违法失信行为记录名单的投标人，不得参加本次政府采购活动；</w:t>
            </w:r>
            <w:r>
              <w:rPr>
                <w:rFonts w:hint="eastAsia" w:ascii="仿宋" w:hAnsi="仿宋" w:eastAsia="仿宋" w:cs="仿宋"/>
                <w:color w:val="auto"/>
                <w:sz w:val="24"/>
                <w:szCs w:val="24"/>
                <w:highlight w:val="none"/>
                <w:lang w:val="en-US" w:eastAsia="zh-CN"/>
              </w:rPr>
              <w:t>3、进口产品需提供产品授权；（所投产品为进口产品的）4</w:t>
            </w:r>
            <w:r>
              <w:rPr>
                <w:rFonts w:hint="eastAsia" w:ascii="仿宋" w:hAnsi="仿宋" w:eastAsia="仿宋" w:cs="仿宋"/>
                <w:color w:val="auto"/>
                <w:sz w:val="24"/>
                <w:szCs w:val="24"/>
                <w:highlight w:val="none"/>
              </w:rPr>
              <w:t>、本项目不接受联合体投标。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6" w:hRule="atLeast"/>
          <w:jc w:val="center"/>
        </w:trPr>
        <w:tc>
          <w:tcPr>
            <w:tcW w:w="351" w:type="pct"/>
            <w:noWrap w:val="0"/>
            <w:vAlign w:val="center"/>
          </w:tcPr>
          <w:p>
            <w:pPr>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C</w:t>
            </w:r>
          </w:p>
        </w:tc>
        <w:tc>
          <w:tcPr>
            <w:tcW w:w="872" w:type="pc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热释光剂量仪</w:t>
            </w:r>
          </w:p>
        </w:tc>
        <w:tc>
          <w:tcPr>
            <w:tcW w:w="777"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1" w:type="pct"/>
            <w:noWrap w:val="0"/>
            <w:vAlign w:val="center"/>
          </w:tcPr>
          <w:p>
            <w:pPr>
              <w:widowControl/>
              <w:ind w:left="0" w:leftChars="0" w:firstLine="0" w:firstLineChars="0"/>
              <w:jc w:val="center"/>
              <w:textAlignment w:val="bottom"/>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14</w:t>
            </w:r>
          </w:p>
        </w:tc>
        <w:tc>
          <w:tcPr>
            <w:tcW w:w="2128" w:type="pct"/>
            <w:vMerge w:val="continue"/>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rPr>
            </w:pPr>
          </w:p>
        </w:tc>
      </w:tr>
    </w:tbl>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三</w:t>
      </w:r>
      <w:r>
        <w:rPr>
          <w:rFonts w:hint="eastAsia" w:ascii="仿宋" w:hAnsi="仿宋" w:eastAsia="仿宋" w:cs="仿宋"/>
          <w:b/>
          <w:color w:val="auto"/>
          <w:highlight w:val="none"/>
        </w:rPr>
        <w:t>、招标文件发售的时间、地点、售价及方式</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1、时间：202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5</w:t>
      </w:r>
      <w:r>
        <w:rPr>
          <w:rFonts w:hint="eastAsia" w:ascii="仿宋" w:hAnsi="仿宋" w:eastAsia="仿宋" w:cs="仿宋"/>
          <w:color w:val="auto"/>
          <w:highlight w:val="none"/>
        </w:rPr>
        <w:t>日至202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12</w:t>
      </w:r>
      <w:r>
        <w:rPr>
          <w:rFonts w:hint="eastAsia" w:ascii="仿宋" w:hAnsi="仿宋" w:eastAsia="仿宋" w:cs="仿宋"/>
          <w:color w:val="auto"/>
          <w:highlight w:val="none"/>
        </w:rPr>
        <w:t>日，每天8:30-12:00、13:30-1</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0（节假日除外）。</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2、地点：</w:t>
      </w:r>
      <w:r>
        <w:rPr>
          <w:rFonts w:hint="eastAsia" w:ascii="仿宋" w:hAnsi="仿宋" w:eastAsia="仿宋" w:cs="仿宋"/>
          <w:color w:val="auto"/>
          <w:sz w:val="24"/>
          <w:highlight w:val="none"/>
        </w:rPr>
        <w:t>济南市历下区经十路13777号中润世纪广场18号楼603</w:t>
      </w:r>
      <w:r>
        <w:rPr>
          <w:rFonts w:hint="eastAsia" w:ascii="仿宋" w:hAnsi="仿宋" w:eastAsia="仿宋" w:cs="仿宋"/>
          <w:color w:val="auto"/>
          <w:highlight w:val="none"/>
        </w:rPr>
        <w:t>(</w:t>
      </w:r>
      <w:r>
        <w:rPr>
          <w:rFonts w:hint="eastAsia" w:ascii="仿宋" w:hAnsi="仿宋" w:eastAsia="仿宋" w:cs="仿宋"/>
          <w:color w:val="auto"/>
          <w:highlight w:val="none"/>
          <w:lang w:eastAsia="zh-CN"/>
        </w:rPr>
        <w:t>山东华仁永旺招标有限公司</w:t>
      </w:r>
      <w:r>
        <w:rPr>
          <w:rFonts w:hint="eastAsia" w:ascii="仿宋" w:hAnsi="仿宋" w:eastAsia="仿宋" w:cs="仿宋"/>
          <w:color w:val="auto"/>
          <w:highlight w:val="none"/>
        </w:rPr>
        <w:t>)。</w:t>
      </w:r>
    </w:p>
    <w:p>
      <w:pPr>
        <w:widowControl/>
        <w:spacing w:line="48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报名备案登记方式：凡有意参加本次政府采购的供应商必须在中国山东政府采购网（http://www.ccgp-shandong.gov.cn）进行注册并报名，网站报名成功后携带营业执照复印件、授权委托书（格式自拟）</w:t>
      </w:r>
      <w:r>
        <w:rPr>
          <w:rFonts w:hint="eastAsia" w:ascii="仿宋" w:hAnsi="仿宋" w:cs="仿宋"/>
          <w:color w:val="auto"/>
          <w:sz w:val="24"/>
          <w:highlight w:val="none"/>
          <w:lang w:eastAsia="zh-CN"/>
        </w:rPr>
        <w:t>、</w:t>
      </w:r>
      <w:r>
        <w:rPr>
          <w:rFonts w:hint="eastAsia" w:ascii="仿宋" w:hAnsi="仿宋" w:cs="仿宋"/>
          <w:color w:val="auto"/>
          <w:sz w:val="24"/>
          <w:szCs w:val="24"/>
          <w:highlight w:val="none"/>
          <w:lang w:val="en-US" w:eastAsia="zh-CN"/>
        </w:rPr>
        <w:t>进口产品需提供产品授权（所投产品为进口产品的）</w:t>
      </w:r>
      <w:r>
        <w:rPr>
          <w:rFonts w:hint="eastAsia" w:ascii="仿宋" w:hAnsi="仿宋" w:eastAsia="仿宋" w:cs="仿宋"/>
          <w:color w:val="auto"/>
          <w:sz w:val="24"/>
          <w:highlight w:val="none"/>
          <w:lang w:eastAsia="zh-CN"/>
        </w:rPr>
        <w:t>等材料</w:t>
      </w:r>
      <w:r>
        <w:rPr>
          <w:rFonts w:hint="eastAsia" w:ascii="仿宋" w:hAnsi="仿宋" w:eastAsia="仿宋" w:cs="仿宋"/>
          <w:color w:val="auto"/>
          <w:sz w:val="24"/>
          <w:highlight w:val="none"/>
        </w:rPr>
        <w:t>盖章前来招标代理机构现场报名或邮箱报名（联系电话：</w:t>
      </w:r>
      <w:r>
        <w:rPr>
          <w:rFonts w:hint="eastAsia" w:ascii="仿宋" w:hAnsi="仿宋" w:cs="仿宋"/>
          <w:color w:val="auto"/>
          <w:sz w:val="24"/>
          <w:highlight w:val="none"/>
          <w:lang w:val="en-US" w:eastAsia="zh-CN"/>
        </w:rPr>
        <w:t>19861051518</w:t>
      </w:r>
      <w:r>
        <w:rPr>
          <w:rFonts w:hint="eastAsia" w:ascii="仿宋" w:hAnsi="仿宋" w:eastAsia="仿宋" w:cs="仿宋"/>
          <w:color w:val="auto"/>
          <w:sz w:val="24"/>
          <w:highlight w:val="none"/>
        </w:rPr>
        <w:t>，邮箱</w:t>
      </w:r>
      <w:r>
        <w:rPr>
          <w:rFonts w:hint="eastAsia" w:ascii="仿宋" w:hAnsi="仿宋" w:cs="仿宋"/>
          <w:color w:val="auto"/>
          <w:sz w:val="24"/>
          <w:highlight w:val="none"/>
          <w:lang w:eastAsia="zh-CN"/>
        </w:rPr>
        <w:t>sdhryw@126.com</w:t>
      </w:r>
      <w:r>
        <w:rPr>
          <w:rFonts w:hint="eastAsia" w:ascii="仿宋" w:hAnsi="仿宋" w:eastAsia="仿宋" w:cs="仿宋"/>
          <w:color w:val="auto"/>
          <w:sz w:val="24"/>
          <w:highlight w:val="none"/>
        </w:rPr>
        <w:t>）：上述资料扫描件及对公汇款截图、联系人、联系电话发至邮箱（</w:t>
      </w:r>
      <w:r>
        <w:rPr>
          <w:rFonts w:hint="eastAsia" w:ascii="仿宋" w:hAnsi="仿宋" w:eastAsia="仿宋" w:cs="仿宋"/>
          <w:b/>
          <w:bCs/>
          <w:color w:val="auto"/>
          <w:sz w:val="24"/>
          <w:highlight w:val="none"/>
          <w:lang w:eastAsia="zh-CN"/>
        </w:rPr>
        <w:t>报名费转账必须公对公转账并备注</w:t>
      </w:r>
      <w:r>
        <w:rPr>
          <w:rFonts w:hint="eastAsia" w:ascii="仿宋" w:hAnsi="仿宋" w:eastAsia="仿宋" w:cs="仿宋"/>
          <w:b/>
          <w:bCs/>
          <w:color w:val="auto"/>
          <w:sz w:val="24"/>
          <w:highlight w:val="none"/>
          <w:lang w:val="en-US" w:eastAsia="zh-CN"/>
        </w:rPr>
        <w:t>2</w:t>
      </w:r>
      <w:r>
        <w:rPr>
          <w:rFonts w:hint="eastAsia" w:ascii="仿宋" w:hAnsi="仿宋" w:cs="仿宋"/>
          <w:b/>
          <w:bCs/>
          <w:color w:val="auto"/>
          <w:sz w:val="24"/>
          <w:highlight w:val="none"/>
          <w:lang w:val="en-US" w:eastAsia="zh-CN"/>
        </w:rPr>
        <w:t>3</w:t>
      </w:r>
      <w:r>
        <w:rPr>
          <w:rFonts w:hint="eastAsia" w:ascii="仿宋" w:hAnsi="仿宋" w:eastAsia="仿宋" w:cs="仿宋"/>
          <w:b/>
          <w:bCs/>
          <w:color w:val="auto"/>
          <w:sz w:val="24"/>
          <w:highlight w:val="none"/>
          <w:lang w:val="en-US" w:eastAsia="zh-CN"/>
        </w:rPr>
        <w:t>-</w:t>
      </w:r>
      <w:r>
        <w:rPr>
          <w:rFonts w:hint="eastAsia" w:ascii="仿宋" w:hAnsi="仿宋" w:cs="仿宋"/>
          <w:b/>
          <w:bCs/>
          <w:color w:val="auto"/>
          <w:sz w:val="24"/>
          <w:highlight w:val="none"/>
          <w:lang w:val="en-US" w:eastAsia="zh-CN"/>
        </w:rPr>
        <w:t>103</w:t>
      </w:r>
      <w:r>
        <w:rPr>
          <w:rFonts w:hint="eastAsia" w:ascii="仿宋" w:hAnsi="仿宋" w:eastAsia="仿宋" w:cs="仿宋"/>
          <w:b/>
          <w:bCs/>
          <w:color w:val="auto"/>
          <w:sz w:val="24"/>
          <w:highlight w:val="none"/>
          <w:lang w:val="en-US" w:eastAsia="zh-CN"/>
        </w:rPr>
        <w:t>报名费+包号</w:t>
      </w:r>
      <w:r>
        <w:rPr>
          <w:rFonts w:hint="eastAsia" w:ascii="仿宋" w:hAnsi="仿宋" w:eastAsia="仿宋" w:cs="仿宋"/>
          <w:color w:val="auto"/>
          <w:sz w:val="24"/>
          <w:highlight w:val="none"/>
        </w:rPr>
        <w:t>开户单位：山东华仁永旺招标有限公司，开户银行：中国工商银行济南高新支行，帐号：1602023609200296250）。投标报名时的资料查验不代表资格审查的最终通过或合格，投标人最终资格的确认以评审小组的资格后审为准。标书售出不退。招标文件售价：</w:t>
      </w:r>
      <w:r>
        <w:rPr>
          <w:rFonts w:hint="eastAsia" w:ascii="仿宋" w:hAnsi="仿宋" w:cs="仿宋"/>
          <w:color w:val="auto"/>
          <w:sz w:val="24"/>
          <w:highlight w:val="none"/>
          <w:lang w:val="en-US" w:eastAsia="zh-CN"/>
        </w:rPr>
        <w:t>4</w:t>
      </w:r>
      <w:r>
        <w:rPr>
          <w:rFonts w:hint="eastAsia" w:ascii="仿宋" w:hAnsi="仿宋" w:eastAsia="仿宋" w:cs="仿宋"/>
          <w:color w:val="auto"/>
          <w:sz w:val="24"/>
          <w:highlight w:val="none"/>
        </w:rPr>
        <w:t>00 元/包</w:t>
      </w:r>
    </w:p>
    <w:p>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地点：济南市历下区经十路13777号中润世纪广场18号楼603</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四</w:t>
      </w:r>
      <w:r>
        <w:rPr>
          <w:rFonts w:hint="eastAsia" w:ascii="仿宋" w:hAnsi="仿宋" w:eastAsia="仿宋" w:cs="仿宋"/>
          <w:b/>
          <w:color w:val="auto"/>
          <w:highlight w:val="none"/>
        </w:rPr>
        <w:t>、投标文件的递交</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1、递交投标文件时间：202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26</w:t>
      </w:r>
      <w:r>
        <w:rPr>
          <w:rFonts w:hint="eastAsia" w:ascii="仿宋" w:hAnsi="仿宋" w:eastAsia="仿宋" w:cs="仿宋"/>
          <w:color w:val="auto"/>
          <w:highlight w:val="none"/>
        </w:rPr>
        <w:t>日</w:t>
      </w:r>
      <w:r>
        <w:rPr>
          <w:rFonts w:hint="eastAsia" w:ascii="仿宋" w:hAnsi="仿宋" w:eastAsia="仿宋" w:cs="仿宋"/>
          <w:color w:val="auto"/>
          <w:highlight w:val="none"/>
          <w:lang w:val="en-US" w:eastAsia="zh-CN"/>
        </w:rPr>
        <w:t>08</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0-</w:t>
      </w:r>
      <w:r>
        <w:rPr>
          <w:rFonts w:hint="eastAsia" w:ascii="仿宋" w:hAnsi="仿宋" w:eastAsia="仿宋" w:cs="仿宋"/>
          <w:color w:val="auto"/>
          <w:highlight w:val="none"/>
          <w:lang w:val="en-US" w:eastAsia="zh-CN"/>
        </w:rPr>
        <w:t>09</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0（北京时间）。</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2、递交投标文件截止时间和开标时间：202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26</w:t>
      </w:r>
      <w:r>
        <w:rPr>
          <w:rFonts w:hint="eastAsia" w:ascii="仿宋" w:hAnsi="仿宋" w:eastAsia="仿宋" w:cs="仿宋"/>
          <w:color w:val="auto"/>
          <w:highlight w:val="none"/>
        </w:rPr>
        <w:t>日0</w:t>
      </w:r>
      <w:r>
        <w:rPr>
          <w:rFonts w:hint="eastAsia" w:ascii="仿宋" w:hAnsi="仿宋" w:eastAsia="仿宋" w:cs="仿宋"/>
          <w:color w:val="auto"/>
          <w:highlight w:val="none"/>
          <w:lang w:val="en-US" w:eastAsia="zh-CN"/>
        </w:rPr>
        <w:t>9</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0（北京时间），逾期递交的投标文件不予接受。</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3、递交投标文件和开标地点：</w:t>
      </w:r>
      <w:r>
        <w:rPr>
          <w:rFonts w:hint="eastAsia" w:ascii="仿宋" w:hAnsi="仿宋" w:eastAsia="仿宋" w:cs="仿宋"/>
          <w:color w:val="auto"/>
          <w:kern w:val="0"/>
          <w:highlight w:val="none"/>
        </w:rPr>
        <w:t>山东省济南市历下区经十路13777号中润世纪广场18号楼603</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五</w:t>
      </w:r>
      <w:r>
        <w:rPr>
          <w:rFonts w:hint="eastAsia" w:ascii="仿宋" w:hAnsi="仿宋" w:eastAsia="仿宋" w:cs="仿宋"/>
          <w:b/>
          <w:color w:val="auto"/>
          <w:highlight w:val="none"/>
        </w:rPr>
        <w:t>、采购人信息</w:t>
      </w:r>
    </w:p>
    <w:p>
      <w:pPr>
        <w:pStyle w:val="33"/>
        <w:spacing w:line="360" w:lineRule="auto"/>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rPr>
        <w:t>1、名称：</w:t>
      </w:r>
      <w:r>
        <w:rPr>
          <w:rFonts w:hint="eastAsia" w:ascii="仿宋" w:hAnsi="仿宋" w:eastAsia="仿宋" w:cs="仿宋"/>
          <w:color w:val="auto"/>
          <w:highlight w:val="none"/>
          <w:lang w:eastAsia="zh-CN"/>
        </w:rPr>
        <w:t>山东第一医科大学（山东省医学科学院）</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六</w:t>
      </w:r>
      <w:r>
        <w:rPr>
          <w:rFonts w:hint="eastAsia" w:ascii="仿宋" w:hAnsi="仿宋" w:eastAsia="仿宋" w:cs="仿宋"/>
          <w:b/>
          <w:color w:val="auto"/>
          <w:highlight w:val="none"/>
        </w:rPr>
        <w:t>、采购代理机构信息</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rPr>
        <w:t>1、名称：</w:t>
      </w:r>
      <w:r>
        <w:rPr>
          <w:rFonts w:hint="eastAsia" w:ascii="仿宋" w:hAnsi="仿宋" w:eastAsia="仿宋" w:cs="仿宋"/>
          <w:color w:val="auto"/>
          <w:highlight w:val="none"/>
          <w:lang w:eastAsia="zh-CN"/>
        </w:rPr>
        <w:t>山东华仁永旺招标有限公司</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2、地址：</w:t>
      </w:r>
      <w:r>
        <w:rPr>
          <w:rFonts w:hint="eastAsia" w:ascii="仿宋" w:hAnsi="仿宋" w:eastAsia="仿宋" w:cs="仿宋"/>
          <w:color w:val="auto"/>
          <w:sz w:val="24"/>
          <w:highlight w:val="none"/>
        </w:rPr>
        <w:t>济南市历下区经十路13777号中润世纪广场18号楼603</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rPr>
        <w:t>3、项目联系人：</w:t>
      </w:r>
      <w:r>
        <w:rPr>
          <w:rFonts w:hint="eastAsia" w:ascii="仿宋" w:hAnsi="仿宋" w:eastAsia="仿宋" w:cs="仿宋"/>
          <w:color w:val="auto"/>
          <w:highlight w:val="none"/>
          <w:lang w:eastAsia="zh-CN"/>
        </w:rPr>
        <w:t>于美玲</w:t>
      </w:r>
      <w:r>
        <w:rPr>
          <w:rFonts w:hint="eastAsia" w:ascii="仿宋" w:hAnsi="仿宋" w:eastAsia="仿宋" w:cs="仿宋"/>
          <w:color w:val="auto"/>
          <w:highlight w:val="none"/>
        </w:rPr>
        <w:t>、</w:t>
      </w:r>
      <w:r>
        <w:rPr>
          <w:rFonts w:hint="eastAsia" w:ascii="仿宋" w:hAnsi="仿宋" w:cs="仿宋"/>
          <w:color w:val="auto"/>
          <w:highlight w:val="none"/>
          <w:lang w:eastAsia="zh-CN"/>
        </w:rPr>
        <w:t>葛东银</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default" w:ascii="仿宋" w:hAnsi="仿宋" w:eastAsia="仿宋" w:cs="仿宋"/>
          <w:color w:val="auto"/>
          <w:highlight w:val="none"/>
          <w:lang w:val="en-US" w:eastAsia="zh-CN"/>
        </w:rPr>
      </w:pPr>
      <w:r>
        <w:rPr>
          <w:rFonts w:hint="eastAsia" w:ascii="仿宋" w:hAnsi="仿宋" w:eastAsia="仿宋" w:cs="仿宋"/>
          <w:color w:val="auto"/>
          <w:highlight w:val="none"/>
        </w:rPr>
        <w:t>4、</w:t>
      </w:r>
      <w:r>
        <w:rPr>
          <w:rFonts w:hint="eastAsia" w:ascii="仿宋" w:hAnsi="仿宋" w:eastAsia="仿宋" w:cs="仿宋"/>
          <w:color w:val="auto"/>
          <w:highlight w:val="none"/>
          <w:lang w:eastAsia="zh-CN"/>
        </w:rPr>
        <w:t>联系电话</w:t>
      </w:r>
      <w:r>
        <w:rPr>
          <w:rFonts w:hint="eastAsia" w:ascii="仿宋" w:hAnsi="仿宋" w:eastAsia="仿宋" w:cs="仿宋"/>
          <w:color w:val="auto"/>
          <w:highlight w:val="none"/>
        </w:rPr>
        <w:t>：</w:t>
      </w:r>
      <w:r>
        <w:rPr>
          <w:rFonts w:hint="eastAsia" w:ascii="仿宋" w:hAnsi="仿宋" w:cs="仿宋"/>
          <w:color w:val="auto"/>
          <w:sz w:val="24"/>
          <w:highlight w:val="none"/>
          <w:lang w:val="en-US" w:eastAsia="zh-CN"/>
        </w:rPr>
        <w:t>19861051518、15650010801</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ind w:left="0" w:leftChars="0" w:firstLine="0" w:firstLineChars="0"/>
        <w:jc w:val="center"/>
        <w:rPr>
          <w:rFonts w:hint="eastAsia" w:ascii="仿宋" w:hAnsi="仿宋" w:eastAsia="仿宋" w:cs="仿宋"/>
          <w:b/>
          <w:color w:val="auto"/>
          <w:sz w:val="32"/>
          <w:szCs w:val="32"/>
          <w:highlight w:val="none"/>
        </w:rPr>
      </w:pPr>
      <w:bookmarkStart w:id="2" w:name="_Toc106784592"/>
      <w:bookmarkStart w:id="3" w:name="_Toc69110203"/>
      <w:bookmarkStart w:id="4" w:name="_Toc106784519"/>
    </w:p>
    <w:p>
      <w:pPr>
        <w:ind w:left="0" w:leftChars="0" w:firstLine="0" w:firstLineChars="0"/>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第六部分投标人须知附表</w:t>
      </w:r>
      <w:bookmarkEnd w:id="2"/>
      <w:bookmarkEnd w:id="3"/>
      <w:bookmarkEnd w:id="4"/>
    </w:p>
    <w:tbl>
      <w:tblPr>
        <w:tblStyle w:val="23"/>
        <w:tblW w:w="5000"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650"/>
        <w:gridCol w:w="1685"/>
        <w:gridCol w:w="736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335"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869"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内容</w:t>
            </w:r>
          </w:p>
        </w:tc>
        <w:tc>
          <w:tcPr>
            <w:tcW w:w="3796"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名称：</w:t>
            </w:r>
            <w:r>
              <w:rPr>
                <w:rFonts w:hint="eastAsia" w:ascii="仿宋" w:hAnsi="仿宋" w:eastAsia="仿宋" w:cs="仿宋"/>
                <w:color w:val="auto"/>
                <w:szCs w:val="24"/>
                <w:highlight w:val="none"/>
                <w:lang w:eastAsia="zh-CN"/>
              </w:rPr>
              <w:t>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rPr>
              <w:t>名称：</w:t>
            </w:r>
            <w:r>
              <w:rPr>
                <w:rFonts w:hint="eastAsia" w:ascii="仿宋" w:hAnsi="仿宋" w:eastAsia="仿宋" w:cs="仿宋"/>
                <w:color w:val="auto"/>
                <w:highlight w:val="none"/>
                <w:lang w:eastAsia="zh-CN"/>
              </w:rPr>
              <w:t>山东华仁永旺招标有限公司</w:t>
            </w:r>
          </w:p>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rPr>
              <w:t>地址：</w:t>
            </w:r>
            <w:r>
              <w:rPr>
                <w:rFonts w:hint="eastAsia" w:ascii="仿宋" w:hAnsi="仿宋" w:eastAsia="仿宋" w:cs="仿宋"/>
                <w:color w:val="auto"/>
                <w:highlight w:val="none"/>
                <w:lang w:eastAsia="zh-CN"/>
              </w:rPr>
              <w:t>济南市历下区经十路13777号中润世纪广场18号楼603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95"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投标人特定资格要求</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24"/>
                <w:szCs w:val="24"/>
                <w:highlight w:val="none"/>
                <w:lang w:eastAsia="zh-CN"/>
              </w:rPr>
              <w:t>进口产品需提供制造商的授权书或经销证明（授权能追溯到厂家）（若采进口产品的需提供）</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计划编号</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lang w:val="en-US" w:eastAsia="zh-CN"/>
              </w:rPr>
            </w:pPr>
            <w:r>
              <w:rPr>
                <w:rFonts w:hint="eastAsia" w:ascii="仿宋" w:hAnsi="仿宋" w:cs="仿宋"/>
                <w:color w:val="auto"/>
                <w:szCs w:val="24"/>
                <w:highlight w:val="none"/>
                <w:lang w:val="en-US" w:eastAsia="zh-CN"/>
              </w:rPr>
              <w:t xml:space="preserve"> 37000000014006520230101</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rPr>
              <w:t>资金性质</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cs="仿宋"/>
                <w:color w:val="auto"/>
                <w:highlight w:val="none"/>
                <w:lang w:val="en-US" w:eastAsia="zh-CN"/>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采购方式</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公开招标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疑问</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投标人有疑问需要采购人解答的须在招标文件发售截止次日12:00之前发送到</w:t>
            </w:r>
            <w:r>
              <w:rPr>
                <w:rFonts w:hint="eastAsia" w:ascii="仿宋" w:hAnsi="仿宋" w:cs="仿宋"/>
                <w:color w:val="auto"/>
                <w:highlight w:val="none"/>
                <w:lang w:eastAsia="zh-CN"/>
              </w:rPr>
              <w:t>sdhryw@126.com</w:t>
            </w:r>
            <w:r>
              <w:rPr>
                <w:rFonts w:hint="eastAsia" w:ascii="仿宋" w:hAnsi="仿宋" w:eastAsia="仿宋" w:cs="仿宋"/>
                <w:color w:val="auto"/>
                <w:highlight w:val="none"/>
              </w:rPr>
              <w:t>，注明邮件主题为XXX公司关于XXX项目X包的疑问，并电话告知采购代理机构（0531-</w:t>
            </w:r>
            <w:r>
              <w:rPr>
                <w:rFonts w:hint="eastAsia" w:ascii="仿宋" w:hAnsi="仿宋" w:eastAsia="仿宋" w:cs="仿宋"/>
                <w:color w:val="auto"/>
                <w:highlight w:val="none"/>
                <w:lang w:val="en-US" w:eastAsia="zh-CN"/>
              </w:rPr>
              <w:t>88589238</w:t>
            </w:r>
            <w:r>
              <w:rPr>
                <w:rFonts w:hint="eastAsia" w:ascii="仿宋" w:hAnsi="仿宋" w:eastAsia="仿宋" w:cs="仿宋"/>
                <w:color w:val="auto"/>
                <w:highlight w:val="none"/>
              </w:rPr>
              <w:t>），逾期不再接收。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8</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投标有效期</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040"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是否专门面向中小微企业采购</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是</w:t>
            </w: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中小企业划分标准中采购标的所属行业</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是否允许分包、转包</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rPr>
              <w:t>□</w:t>
            </w:r>
            <w:r>
              <w:rPr>
                <w:rFonts w:hint="eastAsia" w:ascii="仿宋" w:hAnsi="仿宋" w:eastAsia="仿宋" w:cs="仿宋"/>
                <w:color w:val="auto"/>
                <w:highlight w:val="none"/>
              </w:rPr>
              <w:t>是</w:t>
            </w: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12</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备选方案</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不允许</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36"/>
                <w:highlight w:val="none"/>
              </w:rPr>
              <w:t>□</w:t>
            </w:r>
            <w:r>
              <w:rPr>
                <w:rFonts w:hint="eastAsia" w:ascii="仿宋" w:hAnsi="仿宋" w:eastAsia="仿宋" w:cs="仿宋"/>
                <w:color w:val="auto"/>
                <w:szCs w:val="24"/>
                <w:highlight w:val="none"/>
              </w:rPr>
              <w:t>允许，备选投标方案的编制要求、评标办法：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13</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样品要求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详见技术参数要求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演示要求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不需演示</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15</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踏勘现场</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不组织</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36"/>
                <w:highlight w:val="none"/>
              </w:rPr>
              <w:t>□</w:t>
            </w:r>
            <w:r>
              <w:rPr>
                <w:rFonts w:hint="eastAsia" w:ascii="仿宋" w:hAnsi="仿宋" w:eastAsia="仿宋" w:cs="仿宋"/>
                <w:color w:val="auto"/>
                <w:highlight w:val="none"/>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报价方式</w:t>
            </w:r>
          </w:p>
        </w:tc>
        <w:tc>
          <w:tcPr>
            <w:tcW w:w="3796" w:type="pct"/>
            <w:vAlign w:val="center"/>
          </w:tcPr>
          <w:p>
            <w:pPr>
              <w:adjustRightInd w:val="0"/>
              <w:snapToGrid w:val="0"/>
              <w:spacing w:line="240" w:lineRule="auto"/>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1、本项目为交钥匙工程。</w:t>
            </w:r>
          </w:p>
          <w:p>
            <w:pPr>
              <w:adjustRightInd w:val="0"/>
              <w:snapToGrid w:val="0"/>
              <w:spacing w:line="240" w:lineRule="auto"/>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2、国产、进口设备：人民币完税报价； </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3、本项目采用全费用报价方式，投标人在报价时应充分考虑市场环境和生产要素价格变化对合同价的影响，可考虑一定的风险系数；所填报价格在合同实施间不因市场变化（或政策性）因素而变动。</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人填报的全费用报价包括为完成招标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中标服务费等所有费用的总和。上述费用均摊在各子项单价中，不单独结算。</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上述费用描述须包括所有采购材料到指定交货地点的所有费用，采购人不支付除投标人报价的任何附加费用。</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b/>
                <w:bCs/>
                <w:color w:val="auto"/>
                <w:highlight w:val="none"/>
              </w:rPr>
              <w:t>4、凡投标人在报价中未列的项目或遗漏项目，采购人将一律视为已包括在其报价中，在合同执行中将不予考虑。投标人应根据现场实际情况进行复核服务需求，如服务需求调整视为投标人风险自担，采购人将不再采购报价外追加费用</w:t>
            </w:r>
            <w:r>
              <w:rPr>
                <w:rFonts w:hint="eastAsia" w:ascii="仿宋" w:hAnsi="仿宋" w:eastAsia="仿宋" w:cs="仿宋"/>
                <w:color w:val="auto"/>
                <w:highlight w:val="none"/>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17</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质保期</w:t>
            </w:r>
          </w:p>
        </w:tc>
        <w:tc>
          <w:tcPr>
            <w:tcW w:w="3796" w:type="pct"/>
            <w:vAlign w:val="center"/>
          </w:tcPr>
          <w:p>
            <w:pPr>
              <w:adjustRightInd w:val="0"/>
              <w:snapToGrid w:val="0"/>
              <w:spacing w:line="240" w:lineRule="auto"/>
              <w:ind w:firstLine="0" w:firstLineChars="0"/>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rPr>
              <w:t>详见招标文件“第八部分技术要求及说明”具体要求</w:t>
            </w:r>
            <w:r>
              <w:rPr>
                <w:rFonts w:hint="eastAsia" w:ascii="仿宋" w:hAnsi="仿宋" w:eastAsia="仿宋" w:cs="仿宋"/>
                <w:color w:val="auto"/>
                <w:kern w:val="0"/>
                <w:szCs w:val="24"/>
                <w:highlight w:val="none"/>
                <w:lang w:eastAsia="zh-CN"/>
              </w:rPr>
              <w:t>；</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投标人可根据自身实际情况自报最长质保期。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18</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供货期</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详见招标文件“第八部分技术要求及说明”具体要求</w:t>
            </w:r>
            <w:r>
              <w:rPr>
                <w:rFonts w:hint="eastAsia" w:ascii="仿宋" w:hAnsi="仿宋" w:eastAsia="仿宋" w:cs="仿宋"/>
                <w:color w:val="auto"/>
                <w:szCs w:val="24"/>
                <w:highlight w:val="none"/>
                <w:lang w:eastAsia="zh-CN"/>
              </w:rPr>
              <w:t>；</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highlight w:val="none"/>
              </w:rPr>
              <w:t>投标人可根据自身实际情况自报最短供货期。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19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交货地点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投标保证金</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根据鲁财采【2019】40号规定，本项目不向诚信记录良好的投标人收取投标保证金。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676"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付款方式及履约保证金</w:t>
            </w:r>
          </w:p>
        </w:tc>
        <w:tc>
          <w:tcPr>
            <w:tcW w:w="3796" w:type="pct"/>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color w:val="auto"/>
                <w:sz w:val="24"/>
                <w:highlight w:val="none"/>
              </w:rPr>
            </w:pPr>
            <w:r>
              <w:rPr>
                <w:rFonts w:hint="eastAsia" w:ascii="宋体" w:hAnsi="宋体" w:cs="宋体"/>
                <w:color w:val="auto"/>
                <w:sz w:val="24"/>
                <w:highlight w:val="none"/>
                <w:lang w:eastAsia="zh-CN"/>
              </w:rPr>
              <w:t>国产设备：合</w:t>
            </w:r>
            <w:r>
              <w:rPr>
                <w:rFonts w:hint="eastAsia" w:ascii="宋体" w:hAnsi="宋体" w:cs="宋体"/>
                <w:color w:val="auto"/>
                <w:sz w:val="24"/>
                <w:highlight w:val="none"/>
              </w:rPr>
              <w:t>同签订</w:t>
            </w:r>
            <w:r>
              <w:rPr>
                <w:rFonts w:hint="eastAsia" w:ascii="宋体" w:hAnsi="宋体" w:cs="宋体"/>
                <w:color w:val="auto"/>
                <w:sz w:val="24"/>
                <w:highlight w:val="none"/>
                <w:lang w:eastAsia="zh-CN"/>
              </w:rPr>
              <w:t>前</w:t>
            </w:r>
            <w:r>
              <w:rPr>
                <w:rFonts w:hint="eastAsia" w:ascii="宋体" w:hAnsi="宋体" w:cs="宋体"/>
                <w:color w:val="auto"/>
                <w:sz w:val="24"/>
                <w:highlight w:val="none"/>
              </w:rPr>
              <w:t>成交供应商向采购人指定账户缴纳合同金额5%的履约保证金。在合同签订生效且具备实施条件后，成交供应商向项目负责人或指定人申请合同金额</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0%的预付款，采购人确定后7个工作日内支付。项目验收合格、审计定案（若需要）后7个工作日内，支付剩余合同货款。</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color w:val="auto"/>
                <w:sz w:val="24"/>
                <w:highlight w:val="none"/>
              </w:rPr>
            </w:pPr>
            <w:r>
              <w:rPr>
                <w:rFonts w:hint="eastAsia" w:ascii="宋体" w:hAnsi="宋体" w:cs="宋体"/>
                <w:color w:val="auto"/>
                <w:sz w:val="24"/>
                <w:highlight w:val="none"/>
              </w:rPr>
              <w:t>进口设备：中标后合同签订前中标人向采购人指定账户缴纳合同金额5%的履约保证金。在合同签订生效且具备实施条件后，外贸公司向项目负责人或指定人申请合同金额70%的预付款，采购人确定后7个工作日内支付。信用证开立后7个工作日内，支付剩余合同货款。</w:t>
            </w:r>
          </w:p>
          <w:p>
            <w:pPr>
              <w:ind w:left="0" w:leftChars="0" w:firstLine="0" w:firstLineChars="0"/>
              <w:rPr>
                <w:rFonts w:hint="eastAsia"/>
                <w:color w:val="auto"/>
                <w:highlight w:val="none"/>
              </w:rPr>
            </w:pPr>
            <w:r>
              <w:rPr>
                <w:rFonts w:hint="eastAsia" w:ascii="宋体" w:hAnsi="宋体" w:cs="宋体"/>
                <w:color w:val="auto"/>
                <w:sz w:val="24"/>
                <w:highlight w:val="none"/>
              </w:rPr>
              <w:t>外贸公司开具以中标人指定的国外生产商为受益人的不可撤销即期信用证，或货到后电汇。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投标文件格式</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按招标文件要求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投标文件组成、份数、密封要求</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正本一份，副本七份，报价一览表（一式三份），USB 接口设备存储的电子版投标文件一份（要求：可编辑WORD 版本、签字盖章的投标文件正本PDF 版本）。</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正本、副本、报价一览表、电子版投标文件分别单独密封。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24</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关于递交原件的规定</w:t>
            </w:r>
          </w:p>
        </w:tc>
        <w:tc>
          <w:tcPr>
            <w:tcW w:w="3796" w:type="pct"/>
            <w:vAlign w:val="center"/>
          </w:tcPr>
          <w:p>
            <w:pPr>
              <w:pStyle w:val="6"/>
              <w:spacing w:before="0" w:after="0"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24"/>
                <w:szCs w:val="20"/>
                <w:highlight w:val="none"/>
              </w:rPr>
              <w:t>业绩加分部分</w:t>
            </w:r>
            <w:r>
              <w:rPr>
                <w:rFonts w:hint="eastAsia" w:ascii="仿宋" w:hAnsi="仿宋" w:eastAsia="仿宋" w:cs="仿宋"/>
                <w:b w:val="0"/>
                <w:bCs w:val="0"/>
                <w:color w:val="auto"/>
                <w:sz w:val="24"/>
                <w:szCs w:val="20"/>
                <w:highlight w:val="none"/>
              </w:rPr>
              <w:t>：</w:t>
            </w:r>
            <w:r>
              <w:rPr>
                <w:rFonts w:hint="eastAsia" w:ascii="仿宋" w:hAnsi="仿宋" w:eastAsia="仿宋" w:cs="仿宋"/>
                <w:b w:val="0"/>
                <w:bCs w:val="0"/>
                <w:color w:val="auto"/>
                <w:sz w:val="24"/>
                <w:szCs w:val="20"/>
                <w:highlight w:val="none"/>
                <w:lang w:eastAsia="zh-CN"/>
              </w:rPr>
              <w:t>若要求提供原件的，</w:t>
            </w:r>
            <w:r>
              <w:rPr>
                <w:rFonts w:hint="eastAsia" w:ascii="仿宋" w:hAnsi="仿宋" w:eastAsia="仿宋" w:cs="仿宋"/>
                <w:b w:val="0"/>
                <w:bCs w:val="0"/>
                <w:color w:val="auto"/>
                <w:sz w:val="24"/>
                <w:szCs w:val="20"/>
                <w:highlight w:val="none"/>
              </w:rPr>
              <w:t>须提供合同原件（复印件加盖投标人公章胶装于投标文件），该合同不提供或提供不全不得分。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25</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递交投标文件的时间和地点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cs="仿宋"/>
                <w:color w:val="auto"/>
                <w:szCs w:val="24"/>
                <w:highlight w:val="none"/>
                <w:lang w:val="en-US" w:eastAsia="zh-CN"/>
              </w:rPr>
              <w:t>7</w:t>
            </w:r>
            <w:r>
              <w:rPr>
                <w:rFonts w:hint="eastAsia" w:ascii="仿宋" w:hAnsi="仿宋" w:eastAsia="仿宋" w:cs="仿宋"/>
                <w:color w:val="auto"/>
                <w:szCs w:val="24"/>
                <w:highlight w:val="none"/>
              </w:rPr>
              <w:t>月</w:t>
            </w:r>
            <w:r>
              <w:rPr>
                <w:rFonts w:hint="eastAsia" w:ascii="仿宋" w:hAnsi="仿宋" w:cs="仿宋"/>
                <w:color w:val="auto"/>
                <w:szCs w:val="24"/>
                <w:highlight w:val="none"/>
                <w:lang w:val="en-US" w:eastAsia="zh-CN"/>
              </w:rPr>
              <w:t>26</w:t>
            </w:r>
            <w:r>
              <w:rPr>
                <w:rFonts w:hint="eastAsia" w:ascii="仿宋" w:hAnsi="仿宋" w:eastAsia="仿宋" w:cs="仿宋"/>
                <w:color w:val="auto"/>
                <w:szCs w:val="24"/>
                <w:highlight w:val="none"/>
              </w:rPr>
              <w:t>日</w:t>
            </w:r>
            <w:r>
              <w:rPr>
                <w:rFonts w:hint="eastAsia" w:ascii="仿宋" w:hAnsi="仿宋" w:eastAsia="仿宋" w:cs="仿宋"/>
                <w:color w:val="auto"/>
                <w:szCs w:val="24"/>
                <w:highlight w:val="none"/>
                <w:lang w:val="en-US" w:eastAsia="zh-CN"/>
              </w:rPr>
              <w:t>08</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0-0</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0（北京时间）</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Cs w:val="24"/>
                <w:highlight w:val="none"/>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26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开标时间和地点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cs="仿宋"/>
                <w:color w:val="auto"/>
                <w:szCs w:val="24"/>
                <w:highlight w:val="none"/>
                <w:lang w:val="en-US" w:eastAsia="zh-CN"/>
              </w:rPr>
              <w:t>7</w:t>
            </w:r>
            <w:r>
              <w:rPr>
                <w:rFonts w:hint="eastAsia" w:ascii="仿宋" w:hAnsi="仿宋" w:eastAsia="仿宋" w:cs="仿宋"/>
                <w:color w:val="auto"/>
                <w:szCs w:val="24"/>
                <w:highlight w:val="none"/>
              </w:rPr>
              <w:t>月</w:t>
            </w:r>
            <w:r>
              <w:rPr>
                <w:rFonts w:hint="eastAsia" w:ascii="仿宋" w:hAnsi="仿宋" w:cs="仿宋"/>
                <w:color w:val="auto"/>
                <w:szCs w:val="24"/>
                <w:highlight w:val="none"/>
                <w:lang w:val="en-US" w:eastAsia="zh-CN"/>
              </w:rPr>
              <w:t>26</w:t>
            </w:r>
            <w:r>
              <w:rPr>
                <w:rFonts w:hint="eastAsia" w:ascii="仿宋" w:hAnsi="仿宋" w:eastAsia="仿宋" w:cs="仿宋"/>
                <w:color w:val="auto"/>
                <w:szCs w:val="24"/>
                <w:highlight w:val="none"/>
              </w:rPr>
              <w:t>日0</w:t>
            </w:r>
            <w:r>
              <w:rPr>
                <w:rFonts w:hint="eastAsia" w:ascii="仿宋" w:hAnsi="仿宋" w:cs="仿宋"/>
                <w:color w:val="auto"/>
                <w:szCs w:val="24"/>
                <w:highlight w:val="none"/>
                <w:lang w:val="en-US" w:eastAsia="zh-CN"/>
              </w:rPr>
              <w:t>9</w:t>
            </w:r>
            <w:r>
              <w:rPr>
                <w:rFonts w:hint="eastAsia" w:ascii="仿宋" w:hAnsi="仿宋" w:eastAsia="仿宋" w:cs="仿宋"/>
                <w:color w:val="auto"/>
                <w:szCs w:val="24"/>
                <w:highlight w:val="none"/>
              </w:rPr>
              <w:t>:</w:t>
            </w:r>
            <w:r>
              <w:rPr>
                <w:rFonts w:hint="eastAsia" w:ascii="仿宋" w:hAnsi="仿宋" w:cs="仿宋"/>
                <w:color w:val="auto"/>
                <w:szCs w:val="24"/>
                <w:highlight w:val="none"/>
                <w:lang w:val="en-US" w:eastAsia="zh-CN"/>
              </w:rPr>
              <w:t>0</w:t>
            </w:r>
            <w:r>
              <w:rPr>
                <w:rFonts w:hint="eastAsia" w:ascii="仿宋" w:hAnsi="仿宋" w:eastAsia="仿宋" w:cs="仿宋"/>
                <w:color w:val="auto"/>
                <w:szCs w:val="24"/>
                <w:highlight w:val="none"/>
              </w:rPr>
              <w:t>0（北京时间）</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Cs w:val="24"/>
                <w:highlight w:val="none"/>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27</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检查投标文件的密封情况</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由监督人/公证机关/见证律师/投标人授权代表检查投标/投标文件密封情况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28</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中标服务费收取标准</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中标人须在中标公告发出后5个工作日内向采购代理机构缴纳中标服务费，中标服务费以中标价格为计费基础，收费标准参照“计价格[2002]1980号”规定</w:t>
            </w:r>
            <w:r>
              <w:rPr>
                <w:rFonts w:hint="eastAsia" w:ascii="仿宋" w:hAnsi="仿宋" w:eastAsia="仿宋" w:cs="仿宋"/>
                <w:color w:val="auto"/>
                <w:szCs w:val="24"/>
                <w:highlight w:val="none"/>
                <w:lang w:val="en-US" w:eastAsia="zh-CN"/>
              </w:rPr>
              <w:t>80%</w:t>
            </w:r>
            <w:r>
              <w:rPr>
                <w:rFonts w:hint="eastAsia" w:ascii="仿宋" w:hAnsi="仿宋" w:eastAsia="仿宋" w:cs="仿宋"/>
                <w:color w:val="auto"/>
                <w:szCs w:val="24"/>
                <w:highlight w:val="none"/>
              </w:rPr>
              <w:t>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见证律师费的收费标准</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中标人按中标金额1‰向公证机关/见证律师交纳公证费/见证律师费，不足500元，按500元收取。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技术部分评审依据内容</w:t>
            </w:r>
          </w:p>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（综合对比）</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1、制造商公开发布的印刷资料或彩页等；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2、检测机构出具的检测报告；</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3、技术响应表；</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4、投标详细技术描述、建设方案等；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31</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招标文件解释权</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构成本招标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同一品牌产品相关问题</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提供相同品牌产品且通过资格审查、符合性审查的不同投标人参加同一合同项下投标的，按一家投标人计算，评审后得分最高的同品牌投标人获得中标人推荐资格。评审得分相同的，按投标报价由低到高顺序排列，得分且投标报价相同的，按技术指标优劣顺序排列。</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2、非单一产品采购项目中核心产品的确定原则：</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（1）第八部分技术要求及说明中规定核心产品的，以核心产品参照上述第1款的规定。</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（2）第八部分技术要求及说明中未规定核心产品的，多家代理商所投同一品牌产品价格总和均超过该项目投标总价50%的，适用于上述第1款的规定。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其他</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1、中标人所有投标文件的所有权（包括知识产权）归采购人所有。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2、采购人提供的相关资料只供本次招标活动使用，各投标人应承担保密义务，不得擅自拷贝和传播。</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3、各投标人的调研费、差旅费及所获补偿金、奖金的税费自理。</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4、所有提交成果一律不退回。</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5、参加本次投标的单位均被视为承认本招标文件的所有条款，并按招标文件规定条款完成投标任务和活动。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34</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highlight w:val="none"/>
                <w:lang w:val="en-GB"/>
              </w:rPr>
            </w:pPr>
            <w:r>
              <w:rPr>
                <w:rFonts w:hint="eastAsia" w:ascii="仿宋" w:hAnsi="仿宋" w:eastAsia="仿宋" w:cs="仿宋"/>
                <w:color w:val="auto"/>
                <w:highlight w:val="none"/>
                <w:lang w:val="en-GB"/>
              </w:rPr>
              <w:t>投标注意事项</w:t>
            </w:r>
          </w:p>
        </w:tc>
        <w:tc>
          <w:tcPr>
            <w:tcW w:w="3796" w:type="pct"/>
            <w:vAlign w:val="center"/>
          </w:tcPr>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1、投标人须于报名截止前在中国山东政府采购网（http://www.ccgp-shandong.gov.cn/sdgp2017/site/index.jsp）注册并报名成功。</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根据财库[2016]125号的相关规定，本次招投标活动将对相关主体信用记录进行查询，对列入失信被执行人、税收违法黑名单、政府采购严重违法失信行为记录名单及其他不符合《中华人民共和国政府采购法》第二十二条规定条件的投标人，拒绝其参与政府采购活动。投标人信用记录信息以信用信息查询记录和证据为准【信用查询渠道：“信用中国”网站（www.creditchina.gov.cn）、“信用中国（山东）”网站（www.creditsd.gov.cn）、 “中国政府采购网”网站（www.ccgp.gov.cn）】</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1）自招标公告发布之日起至投标文件递交截止时间止，出具相关证明材料，查询时须将查询网页、内容进行截图或拍照，以作证据留存，截图或拍照内容要完整清晰，应包括网站网址、查询内容、电脑截屏时间。</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（2）注册地非山东省的投标人，须提供注册地省份相关网站查询记录。</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3、参与投标活动的投标人应当遵循公平竞争和诚实信用的原则，任何违反公平竞争和诚实信用的行为都将导致投标无效，且依据《中华人民共和国政府采购法》第七十七条进行处罚。</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4、根据财库〔2015〕135号的相关规定，本次采购将对中标人的投标报价明细表进行公示，请投标人务必认真填写，如因填写有误等投标人自身原因引起的质疑等产生的一切后果由投标人承担。</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pStyle w:val="10"/>
              <w:adjustRightInd w:val="0"/>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6、本项目实行资格后审，报名成功不代表开标结束后通过资格审查。</w:t>
            </w:r>
          </w:p>
        </w:tc>
      </w:tr>
    </w:tbl>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说明：本表内容与招标文件其他部分内容不一致的，应当以本表内容为准。</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ind w:firstLine="0" w:firstLineChars="0"/>
        <w:jc w:val="center"/>
        <w:outlineLvl w:val="0"/>
        <w:rPr>
          <w:rFonts w:hint="eastAsia" w:ascii="仿宋" w:hAnsi="仿宋" w:eastAsia="仿宋" w:cs="仿宋"/>
          <w:b/>
          <w:color w:val="auto"/>
          <w:sz w:val="32"/>
          <w:szCs w:val="32"/>
          <w:highlight w:val="none"/>
        </w:rPr>
      </w:pPr>
      <w:bookmarkStart w:id="5" w:name="_Toc106784593"/>
      <w:bookmarkStart w:id="6" w:name="_Toc106784520"/>
      <w:r>
        <w:rPr>
          <w:rFonts w:hint="eastAsia" w:ascii="仿宋" w:hAnsi="仿宋" w:eastAsia="仿宋" w:cs="仿宋"/>
          <w:b/>
          <w:color w:val="auto"/>
          <w:sz w:val="32"/>
          <w:szCs w:val="32"/>
          <w:highlight w:val="none"/>
        </w:rPr>
        <w:t>第七部分评标方法和评分细则</w:t>
      </w:r>
      <w:bookmarkEnd w:id="5"/>
      <w:bookmarkEnd w:id="6"/>
    </w:p>
    <w:p>
      <w:pPr>
        <w:ind w:firstLine="562"/>
        <w:outlineLvl w:val="1"/>
        <w:rPr>
          <w:rFonts w:hint="eastAsia" w:ascii="仿宋" w:hAnsi="仿宋" w:eastAsia="仿宋" w:cs="仿宋"/>
          <w:b/>
          <w:color w:val="auto"/>
          <w:sz w:val="28"/>
          <w:szCs w:val="28"/>
          <w:highlight w:val="none"/>
        </w:rPr>
      </w:pPr>
      <w:bookmarkStart w:id="7" w:name="_Toc106784521"/>
      <w:bookmarkStart w:id="8" w:name="_Toc106784594"/>
      <w:bookmarkStart w:id="9" w:name="_Toc69110205"/>
      <w:r>
        <w:rPr>
          <w:rFonts w:hint="eastAsia" w:ascii="仿宋" w:hAnsi="仿宋" w:eastAsia="仿宋" w:cs="仿宋"/>
          <w:b/>
          <w:color w:val="auto"/>
          <w:sz w:val="28"/>
          <w:szCs w:val="28"/>
          <w:highlight w:val="none"/>
        </w:rPr>
        <w:t>一、评标方法</w:t>
      </w:r>
      <w:bookmarkEnd w:id="7"/>
      <w:bookmarkEnd w:id="8"/>
      <w:bookmarkEnd w:id="9"/>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本项目采用综合评分法，投标文件满足招标文件全部实质性要求且按照评审因素的量化指标评审得分最高的投标人为中标候选人。每一投标人的最终得分为所有评委评分的算术平均值。经采购人授权，本项目由评标委员会直接确定中标人，综合评分得分最高的投标人为中标人。得分相同的，报价较低的一方为中标人。得分且报价相同的，技术指标较优的一方为中标人。投标人的综合得分分值计算保留到小数点后两位数，第三位数四舍五入；当出现分值相同情况时，则报价低者优先。</w:t>
      </w:r>
    </w:p>
    <w:p>
      <w:pPr>
        <w:numPr>
          <w:ilvl w:val="0"/>
          <w:numId w:val="1"/>
        </w:numPr>
        <w:ind w:firstLine="562"/>
        <w:outlineLvl w:val="1"/>
        <w:rPr>
          <w:rFonts w:hint="eastAsia" w:ascii="仿宋" w:hAnsi="仿宋" w:eastAsia="仿宋" w:cs="仿宋"/>
          <w:b/>
          <w:color w:val="auto"/>
          <w:sz w:val="28"/>
          <w:szCs w:val="28"/>
          <w:highlight w:val="none"/>
        </w:rPr>
      </w:pPr>
      <w:bookmarkStart w:id="10" w:name="_Toc106784595"/>
      <w:bookmarkStart w:id="11" w:name="_Toc69110206"/>
      <w:bookmarkStart w:id="12" w:name="_Toc106784522"/>
      <w:r>
        <w:rPr>
          <w:rFonts w:hint="eastAsia" w:ascii="仿宋" w:hAnsi="仿宋" w:eastAsia="仿宋" w:cs="仿宋"/>
          <w:b/>
          <w:color w:val="auto"/>
          <w:sz w:val="28"/>
          <w:szCs w:val="28"/>
          <w:highlight w:val="none"/>
        </w:rPr>
        <w:t>评分细则</w:t>
      </w:r>
      <w:bookmarkEnd w:id="10"/>
      <w:bookmarkEnd w:id="11"/>
      <w:bookmarkEnd w:id="12"/>
    </w:p>
    <w:p>
      <w:pPr>
        <w:ind w:left="0" w:leftChars="0" w:firstLine="0" w:firstLineChars="0"/>
        <w:rPr>
          <w:rFonts w:hint="eastAsia" w:ascii="仿宋" w:hAnsi="仿宋" w:eastAsia="仿宋" w:cs="仿宋"/>
          <w:b/>
          <w:color w:val="auto"/>
          <w:sz w:val="28"/>
          <w:szCs w:val="28"/>
          <w:highlight w:val="none"/>
          <w:lang w:val="en-US" w:eastAsia="zh-CN"/>
        </w:rPr>
      </w:pPr>
      <w:bookmarkStart w:id="13" w:name="_Toc69110207"/>
      <w:bookmarkStart w:id="14" w:name="_Toc106784596"/>
      <w:bookmarkStart w:id="15" w:name="_Toc106784523"/>
      <w:r>
        <w:rPr>
          <w:rFonts w:hint="eastAsia" w:ascii="仿宋" w:hAnsi="仿宋" w:eastAsia="仿宋" w:cs="仿宋"/>
          <w:b/>
          <w:color w:val="auto"/>
          <w:sz w:val="28"/>
          <w:szCs w:val="28"/>
          <w:highlight w:val="none"/>
          <w:lang w:val="en-US" w:eastAsia="zh-CN"/>
        </w:rPr>
        <w:t>评分细则</w:t>
      </w:r>
    </w:p>
    <w:tbl>
      <w:tblPr>
        <w:tblStyle w:val="23"/>
        <w:tblW w:w="9855"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8"/>
        <w:gridCol w:w="1324"/>
        <w:gridCol w:w="789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9855" w:type="dxa"/>
            <w:gridSpan w:val="3"/>
            <w:tcBorders>
              <w:top w:val="double" w:color="000000" w:sz="6" w:space="0"/>
              <w:left w:val="doub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bCs/>
                <w:caps/>
                <w:color w:val="auto"/>
                <w:szCs w:val="24"/>
                <w:highlight w:val="none"/>
              </w:rPr>
            </w:pPr>
            <w:r>
              <w:rPr>
                <w:rFonts w:hint="eastAsia" w:ascii="仿宋" w:hAnsi="仿宋" w:eastAsia="仿宋" w:cs="仿宋"/>
                <w:caps/>
                <w:color w:val="auto"/>
                <w:szCs w:val="24"/>
                <w:highlight w:val="none"/>
              </w:rPr>
              <w:t xml:space="preserve">    </w:t>
            </w:r>
            <w:r>
              <w:rPr>
                <w:rFonts w:hint="eastAsia" w:ascii="仿宋" w:hAnsi="仿宋" w:eastAsia="仿宋" w:cs="仿宋"/>
                <w:bCs/>
                <w:caps/>
                <w:color w:val="auto"/>
                <w:szCs w:val="24"/>
                <w:highlight w:val="none"/>
              </w:rPr>
              <w:t>总分100分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restart"/>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总分组成</w:t>
            </w: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（1）价格</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（2）技术</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59</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（3）商务</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11</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gridSpan w:val="2"/>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投标报价</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以满足招标文件要求且投标价格最低的投标报价为评标基准价，其价格分为满分30分，其他投标人的价格分按照下列公式计算：投标报价得分=（评标基准价/投标报价）×30%×100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551" w:hRule="atLeast"/>
        </w:trPr>
        <w:tc>
          <w:tcPr>
            <w:tcW w:w="638" w:type="dxa"/>
            <w:vMerge w:val="restart"/>
            <w:tcBorders>
              <w:top w:val="single" w:color="000000" w:sz="6" w:space="0"/>
              <w:left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技术部分</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59</w:t>
            </w:r>
            <w:r>
              <w:rPr>
                <w:rFonts w:hint="eastAsia" w:ascii="仿宋" w:hAnsi="仿宋" w:eastAsia="仿宋" w:cs="仿宋"/>
                <w:bCs/>
                <w:color w:val="auto"/>
                <w:szCs w:val="24"/>
                <w:highlight w:val="none"/>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投标产品参数响应</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43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color w:val="auto"/>
                <w:kern w:val="0"/>
                <w:szCs w:val="24"/>
                <w:highlight w:val="none"/>
              </w:rPr>
            </w:pPr>
            <w:r>
              <w:rPr>
                <w:rFonts w:hint="eastAsia" w:ascii="仿宋" w:hAnsi="仿宋" w:eastAsia="仿宋" w:cs="仿宋"/>
                <w:color w:val="auto"/>
                <w:highlight w:val="none"/>
              </w:rPr>
              <w:t>根据招标文件的技术要求，对照投标文件和技术支持资料的技术参数进行比较，能够实质性响应招标文件要求的得基本分</w:t>
            </w:r>
            <w:r>
              <w:rPr>
                <w:rFonts w:hint="eastAsia" w:ascii="仿宋" w:hAnsi="仿宋" w:eastAsia="仿宋" w:cs="仿宋"/>
                <w:color w:val="auto"/>
                <w:highlight w:val="none"/>
                <w:lang w:val="en-US" w:eastAsia="zh-CN"/>
              </w:rPr>
              <w:t>43</w:t>
            </w:r>
            <w:r>
              <w:rPr>
                <w:rFonts w:hint="eastAsia" w:ascii="仿宋" w:hAnsi="仿宋" w:eastAsia="仿宋" w:cs="仿宋"/>
                <w:color w:val="auto"/>
                <w:highlight w:val="none"/>
              </w:rPr>
              <w:t>分，普通条款一项偏离扣2分，经评标委员会集体认定供应商复制粘贴招标文件制作技术响应表该项得0分。</w:t>
            </w:r>
            <w:r>
              <w:rPr>
                <w:rFonts w:hint="eastAsia" w:ascii="仿宋" w:hAnsi="仿宋" w:eastAsia="仿宋" w:cs="仿宋"/>
                <w:b/>
                <w:bCs/>
                <w:color w:val="auto"/>
                <w:kern w:val="0"/>
                <w:szCs w:val="24"/>
                <w:highlight w:val="none"/>
              </w:rPr>
              <w:t>投标人须提供所投产品技术彩页（或网站截图或制造商说明书或第三方检测报告）作为技术佐证材料，否则评委有权视为技术参数存在负偏离。</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tcPr>
          <w:p>
            <w:pPr>
              <w:spacing w:line="440" w:lineRule="exact"/>
              <w:ind w:firstLine="0" w:firstLineChars="0"/>
              <w:jc w:val="both"/>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eastAsia="zh-CN"/>
              </w:rPr>
              <w:t>投标产品综合性能</w:t>
            </w:r>
            <w:r>
              <w:rPr>
                <w:rFonts w:hint="eastAsia" w:ascii="仿宋" w:hAnsi="仿宋" w:eastAsia="仿宋" w:cs="仿宋"/>
                <w:bCs/>
                <w:color w:val="auto"/>
                <w:szCs w:val="24"/>
                <w:highlight w:val="none"/>
                <w:lang w:val="en-US" w:eastAsia="zh-CN"/>
              </w:rPr>
              <w:t>10</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综合考虑投标产品整体配置、后期使用成本、产品维护及其它因素等综合评分。①投标产品整体配置、②明显优于采购要求③后期使用成本低、④产品易于维护、⑤其它因素，每项完全满足得2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pStyle w:val="12"/>
              <w:spacing w:after="0" w:line="480" w:lineRule="exact"/>
              <w:ind w:left="0" w:leftChars="0" w:firstLine="0" w:firstLineChars="0"/>
              <w:jc w:val="center"/>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实施方案</w:t>
            </w:r>
          </w:p>
          <w:p>
            <w:pPr>
              <w:pStyle w:val="12"/>
              <w:spacing w:after="0" w:line="480" w:lineRule="exact"/>
              <w:ind w:left="0" w:leftChars="0" w:firstLine="0" w:firstLineChars="0"/>
              <w:jc w:val="center"/>
              <w:rPr>
                <w:rFonts w:hint="eastAsia" w:ascii="仿宋" w:hAnsi="仿宋" w:eastAsia="仿宋" w:cs="仿宋"/>
                <w:bCs/>
                <w:color w:val="auto"/>
                <w:szCs w:val="24"/>
                <w:highlight w:val="none"/>
                <w:lang w:eastAsia="zh-CN"/>
              </w:rPr>
            </w:pP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top"/>
          </w:tcPr>
          <w:p>
            <w:pPr>
              <w:pStyle w:val="12"/>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对供应商提供的具体实施方案进行评审，根据项目实施进度、质量保证措施等进行综合评审，每项完全满足得</w:t>
            </w:r>
            <w:r>
              <w:rPr>
                <w:rFonts w:hint="eastAsia" w:ascii="仿宋" w:hAnsi="仿宋" w:eastAsia="仿宋" w:cs="仿宋"/>
                <w:bCs/>
                <w:color w:val="auto"/>
                <w:sz w:val="24"/>
                <w:highlight w:val="none"/>
                <w:lang w:val="en-US" w:eastAsia="zh-CN"/>
              </w:rPr>
              <w:t>3分，满分6分</w:t>
            </w:r>
            <w:r>
              <w:rPr>
                <w:rFonts w:hint="eastAsia" w:ascii="仿宋" w:hAnsi="仿宋" w:cs="仿宋"/>
                <w:bCs/>
                <w:color w:val="auto"/>
                <w:sz w:val="24"/>
                <w:highlight w:val="none"/>
                <w:lang w:val="en-US" w:eastAsia="zh-CN"/>
              </w:rPr>
              <w:t>，</w:t>
            </w:r>
            <w:r>
              <w:rPr>
                <w:rFonts w:hint="eastAsia" w:ascii="仿宋" w:hAnsi="仿宋" w:eastAsia="仿宋" w:cs="仿宋"/>
                <w:bCs/>
                <w:color w:val="auto"/>
                <w:sz w:val="24"/>
                <w:highlight w:val="none"/>
                <w:lang w:val="en-US" w:eastAsia="zh-CN"/>
              </w:rPr>
              <w:t>每有一项不足扣1分。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638" w:type="dxa"/>
            <w:vMerge w:val="restart"/>
            <w:tcBorders>
              <w:top w:val="single" w:color="000000" w:sz="6" w:space="0"/>
              <w:left w:val="doub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商务</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部分</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11</w:t>
            </w:r>
            <w:r>
              <w:rPr>
                <w:rFonts w:hint="eastAsia" w:ascii="仿宋" w:hAnsi="仿宋" w:eastAsia="仿宋" w:cs="仿宋"/>
                <w:bCs/>
                <w:color w:val="auto"/>
                <w:szCs w:val="24"/>
                <w:highlight w:val="none"/>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业绩</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pStyle w:val="12"/>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根据供应商所投产品近三年（20</w:t>
            </w:r>
            <w:r>
              <w:rPr>
                <w:rFonts w:hint="eastAsia" w:ascii="仿宋" w:hAnsi="仿宋" w:cs="仿宋"/>
                <w:bCs/>
                <w:color w:val="auto"/>
                <w:sz w:val="24"/>
                <w:highlight w:val="none"/>
                <w:lang w:val="en-US" w:eastAsia="zh-CN"/>
              </w:rPr>
              <w:t>20</w:t>
            </w:r>
            <w:r>
              <w:rPr>
                <w:rFonts w:hint="eastAsia" w:ascii="仿宋" w:hAnsi="仿宋" w:eastAsia="仿宋" w:cs="仿宋"/>
                <w:bCs/>
                <w:color w:val="auto"/>
                <w:sz w:val="24"/>
                <w:highlight w:val="none"/>
              </w:rPr>
              <w:t>年</w:t>
            </w:r>
            <w:r>
              <w:rPr>
                <w:rFonts w:hint="eastAsia" w:ascii="仿宋" w:hAnsi="仿宋" w:cs="仿宋"/>
                <w:bCs/>
                <w:color w:val="auto"/>
                <w:sz w:val="24"/>
                <w:highlight w:val="none"/>
                <w:lang w:val="en-US" w:eastAsia="zh-CN"/>
              </w:rPr>
              <w:t>5</w:t>
            </w:r>
            <w:r>
              <w:rPr>
                <w:rFonts w:hint="eastAsia" w:ascii="仿宋" w:hAnsi="仿宋" w:eastAsia="仿宋" w:cs="仿宋"/>
                <w:bCs/>
                <w:color w:val="auto"/>
                <w:sz w:val="24"/>
                <w:highlight w:val="none"/>
              </w:rPr>
              <w:t>月至投标截止日止，以合同签订时间为准）完成同类项目的业绩，每提供1项业绩得1分，最高得3分。</w:t>
            </w:r>
          </w:p>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1.合同中需反映出签约双方名称及公章、签约时间、设备名称、型号。</w:t>
            </w:r>
          </w:p>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2. 国内销售业绩：制造商或其他代理商销售业绩均可。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服务支持</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根据招标要求和投标技术响应情况，对供应商提供的①售后服务方案、②响应时间、③技术力量等三方面综合评价，满分</w:t>
            </w:r>
            <w:r>
              <w:rPr>
                <w:rFonts w:hint="eastAsia" w:ascii="仿宋" w:hAnsi="仿宋" w:cs="仿宋"/>
                <w:bCs/>
                <w:color w:val="auto"/>
                <w:szCs w:val="24"/>
                <w:highlight w:val="none"/>
                <w:lang w:val="en-US" w:eastAsia="zh-CN"/>
              </w:rPr>
              <w:t>5</w:t>
            </w:r>
            <w:r>
              <w:rPr>
                <w:rFonts w:hint="eastAsia" w:ascii="仿宋" w:hAnsi="仿宋" w:eastAsia="仿宋" w:cs="仿宋"/>
                <w:bCs/>
                <w:color w:val="auto"/>
                <w:szCs w:val="24"/>
                <w:highlight w:val="none"/>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eastAsia="zh-CN"/>
              </w:rPr>
              <w:t>质保期</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doub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 w:val="24"/>
                <w:highlight w:val="none"/>
              </w:rPr>
              <w:t>质保期满足招标文件要求得0分，超过招标文件要求的，每多一年得1分，最多得3分。</w:t>
            </w:r>
          </w:p>
        </w:tc>
      </w:tr>
    </w:tbl>
    <w:p>
      <w:pP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pPr>
        <w:ind w:firstLine="562"/>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三、初步审查属于无效投标的条款</w:t>
      </w:r>
      <w:bookmarkEnd w:id="13"/>
      <w:bookmarkEnd w:id="14"/>
      <w:bookmarkEnd w:id="15"/>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★投标文件有以下情况之一的，在资格性和符合性审查时按无效投标处理，不得进入详细评审阶段：</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1、不具备招标文件中规定的资格要求的；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2、未从采购代理机构报名并取得招标文件的；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3、投标文件未按招标文件规定要求编制、签署、盖章的；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4、投标有效期不满足招标文件要求的；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5、投标文件含有采购人不能接受的附加条件的；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6、未按招标文件要求报价的；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7、报价超过招标文件中规定的预算金额或者最高限价的；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8、未经许可，以进口产品参与投标的；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9、投标文件没有对招标文件的实质性要求部分（包含投标人须知附表要求部分）和条件或标注★部分作出响应或响应不全面、不规范的；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10、有重大偏离且采购人不能接受的；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11、不提供招标文件要求的任何形式技术资料的；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12、同一投标人提交两个以上不同的投标文件或者投标报价，但招标文件要求提交备选方案的除外；</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13、法律、法规和招标文件规定的其他无效情形。</w:t>
      </w: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sectPr>
          <w:footerReference r:id="rId11" w:type="default"/>
          <w:pgSz w:w="11906" w:h="16838"/>
          <w:pgMar w:top="1134" w:right="991" w:bottom="1440" w:left="1276" w:header="851" w:footer="992" w:gutter="0"/>
          <w:cols w:space="425" w:num="1"/>
          <w:docGrid w:type="lines" w:linePitch="312" w:charSpace="0"/>
        </w:sectPr>
      </w:pPr>
      <w:bookmarkStart w:id="16" w:name="_Toc69110208"/>
    </w:p>
    <w:bookmarkEnd w:id="16"/>
    <w:p>
      <w:pPr>
        <w:ind w:firstLine="0" w:firstLineChars="0"/>
        <w:jc w:val="center"/>
        <w:outlineLvl w:val="0"/>
        <w:rPr>
          <w:rFonts w:hint="eastAsia" w:ascii="仿宋" w:hAnsi="仿宋" w:eastAsia="仿宋" w:cs="仿宋"/>
          <w:b/>
          <w:color w:val="auto"/>
          <w:sz w:val="32"/>
          <w:szCs w:val="32"/>
          <w:highlight w:val="none"/>
        </w:rPr>
      </w:pPr>
      <w:bookmarkStart w:id="17" w:name="_Toc106784597"/>
      <w:bookmarkStart w:id="18" w:name="_Toc106784524"/>
      <w:r>
        <w:rPr>
          <w:rFonts w:hint="eastAsia" w:ascii="仿宋" w:hAnsi="仿宋" w:eastAsia="仿宋" w:cs="仿宋"/>
          <w:b/>
          <w:color w:val="auto"/>
          <w:sz w:val="32"/>
          <w:szCs w:val="32"/>
          <w:highlight w:val="none"/>
        </w:rPr>
        <w:t>第八部分技术要求及说明</w:t>
      </w:r>
      <w:bookmarkEnd w:id="17"/>
      <w:bookmarkEnd w:id="18"/>
    </w:p>
    <w:p>
      <w:pPr>
        <w:pStyle w:val="33"/>
        <w:spacing w:line="360" w:lineRule="auto"/>
        <w:ind w:firstLine="0" w:firstLineChars="0"/>
        <w:rPr>
          <w:rFonts w:hint="eastAsia" w:ascii="仿宋" w:hAnsi="仿宋" w:eastAsia="仿宋" w:cs="仿宋"/>
          <w:bCs/>
          <w:color w:val="auto"/>
          <w:szCs w:val="24"/>
          <w:highlight w:val="none"/>
        </w:rPr>
      </w:pPr>
      <w:r>
        <w:rPr>
          <w:rFonts w:hint="eastAsia" w:ascii="仿宋" w:hAnsi="仿宋" w:eastAsia="仿宋" w:cs="仿宋"/>
          <w:b/>
          <w:color w:val="auto"/>
          <w:szCs w:val="24"/>
          <w:highlight w:val="none"/>
        </w:rPr>
        <w:t>一、项目总体说明</w:t>
      </w:r>
    </w:p>
    <w:p>
      <w:pPr>
        <w:pStyle w:val="33"/>
        <w:spacing w:line="360" w:lineRule="auto"/>
        <w:ind w:firstLine="48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1、本项目所招设备未标识允许进口产品参与投标的，不允许进口产品参与投标。</w:t>
      </w:r>
    </w:p>
    <w:p>
      <w:pPr>
        <w:pStyle w:val="33"/>
        <w:spacing w:line="360" w:lineRule="auto"/>
        <w:ind w:firstLine="480"/>
        <w:rPr>
          <w:rFonts w:hint="eastAsia" w:ascii="仿宋" w:hAnsi="仿宋" w:eastAsia="仿宋" w:cs="仿宋"/>
          <w:bCs/>
          <w:color w:val="auto"/>
          <w:szCs w:val="24"/>
          <w:highlight w:val="none"/>
          <w:lang w:eastAsia="zh-CN"/>
        </w:rPr>
      </w:pPr>
      <w:r>
        <w:rPr>
          <w:rFonts w:hint="eastAsia" w:ascii="仿宋" w:hAnsi="仿宋" w:eastAsia="仿宋" w:cs="仿宋"/>
          <w:bCs/>
          <w:color w:val="auto"/>
          <w:szCs w:val="24"/>
          <w:highlight w:val="none"/>
        </w:rPr>
        <w:t>2、本项目各包均为交钥匙工程</w:t>
      </w:r>
      <w:r>
        <w:rPr>
          <w:rFonts w:hint="eastAsia" w:ascii="仿宋" w:hAnsi="仿宋" w:cs="仿宋"/>
          <w:bCs/>
          <w:color w:val="auto"/>
          <w:szCs w:val="24"/>
          <w:highlight w:val="none"/>
          <w:lang w:eastAsia="zh-CN"/>
        </w:rPr>
        <w:t>，</w:t>
      </w:r>
      <w:r>
        <w:rPr>
          <w:rFonts w:hint="eastAsia" w:ascii="仿宋" w:hAnsi="仿宋" w:eastAsia="仿宋" w:cs="仿宋"/>
          <w:color w:val="auto"/>
          <w:sz w:val="24"/>
          <w:szCs w:val="24"/>
          <w:highlight w:val="none"/>
          <w:lang w:val="en-US" w:eastAsia="zh-CN"/>
        </w:rPr>
        <w:t>与用户现有信息系统连接，费用包含在报价内</w:t>
      </w:r>
      <w:r>
        <w:rPr>
          <w:rFonts w:hint="eastAsia" w:ascii="仿宋" w:hAnsi="仿宋" w:cs="仿宋"/>
          <w:color w:val="auto"/>
          <w:sz w:val="24"/>
          <w:szCs w:val="24"/>
          <w:highlight w:val="none"/>
          <w:lang w:val="en-US" w:eastAsia="zh-CN"/>
        </w:rPr>
        <w:t>。</w:t>
      </w:r>
    </w:p>
    <w:p>
      <w:pPr>
        <w:pStyle w:val="33"/>
        <w:spacing w:line="360" w:lineRule="auto"/>
        <w:ind w:left="0" w:leftChars="0" w:firstLine="0" w:firstLineChars="0"/>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二、技术参数要</w:t>
      </w:r>
      <w:r>
        <w:rPr>
          <w:rFonts w:hint="eastAsia" w:ascii="仿宋" w:hAnsi="仿宋" w:eastAsia="仿宋" w:cs="仿宋"/>
          <w:b/>
          <w:color w:val="auto"/>
          <w:szCs w:val="24"/>
          <w:highlight w:val="none"/>
          <w:lang w:eastAsia="zh-CN"/>
        </w:rPr>
        <w:t>求</w:t>
      </w:r>
    </w:p>
    <w:p>
      <w:pPr>
        <w:rPr>
          <w:rFonts w:hint="default" w:eastAsia="宋体"/>
          <w:lang w:val="en-US" w:eastAsia="zh-CN"/>
        </w:rPr>
      </w:pPr>
      <w:r>
        <w:rPr>
          <w:rFonts w:hint="eastAsia"/>
          <w:lang w:val="en-US" w:eastAsia="zh-CN"/>
        </w:rPr>
        <w:t>A包  预算：140万元  可采进口 数量：1套</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4"/>
        <w:gridCol w:w="8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616"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4383"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9" w:hRule="atLeast"/>
        </w:trPr>
        <w:tc>
          <w:tcPr>
            <w:tcW w:w="616"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SRS三维立体质控系统</w:t>
            </w:r>
          </w:p>
        </w:tc>
        <w:tc>
          <w:tcPr>
            <w:tcW w:w="438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after="240" w:afterAutospacing="0"/>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 功能及应用： 头部立体定向放射治疗端到端的完整流程验证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应用范围 ：端到端立体定向放射治疗验证，包括CT/MR图像质量质控，TPS融合及计划验证,治疗计划剂量验证及设备等中心验证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应用目的： 可提高系统对已知体积、距离和几何参数图象的修正能力的可信度,以证实 CT/MRI 图象重建和图象融合能在TPS中进行</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定位方式 ：具备用水平调节底座直接定位于治疗床面的功能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定位精度： ≤0.1mm精度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 剂量测量方式： 具备小野点剂量测量及胶片面剂量测量验证方式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 多层胶片剂量测量： 支持单层，3层及最大13层胶片剂量测量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 剂量验证： 球形模体可测量横断位、矢状位、冠状位的任意界面剂量及点剂量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 CT影像质控： 支持CT影像形变评估，CT密度值评估和已知体积CT成像空间三维重建验证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 MR影像质控： 支持MR影像形变评估，MR密度值评估和已知体积MR成像空间三维重建验证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 TPS图像融合质控： TPS图像重建功能，多模态图像融合评估，扫描层面位置、厚度和/或扫描层面对齐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 辐射等中心验证： 支持设备辐射等中心及机械等中心空间位置评估，误差≤1mm，对射束和机械等中心、激光准直系统、治疗床上定位以及定位系统的几何精度进行全面的评估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 小野剂量： 支持MCL及Jaw形成的立体定向小野及专用Cone（限光筒）小野剂量验证，最小支持≤3.4mm×3.4mm立体定向小野</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 OAR及靶区验证： 支持靶区及危及器官剂量梯度检测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 模体结构： 模体材料为球形透明合成树脂 等效水材质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 水平调节底座： 三维可调节水平底座，保证球体中心处于等中心位置，误差≤0.1°</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 球形模体尺寸： 球体直径 ≥140mm ，球体中心空心槽尺寸≤ 81 × 81 × 35 mm，≤85 ×  85 ×  10 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19 微型探测器兼容性： 支持A16 0.007cc 及其他0.015cc微型电离室及探测器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20 胶片兼容性： 支持可变辐射感光胶片机免洗胶片的剂量测量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 CT插件属性： CT 标记珠中心间隔≤ 5mm ， CT 插栓不规则尺寸 包含250mm,750 mm,1750 mm ，CT 网格槽直径≤ 0.5mm  CT 网格槽铝质材料 ， CT 网格槽间距 ≤5mm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22 MR插件属性： MRI 标记 ≥4 个 ，MRI 标记珠中心间隔≤ 5mm ， MRI 插栓不规则尺寸 包含250mm,750 mm,1750 mm MRI 网格槽直径≤ 0.5mm， MRI 网格槽铝质材料 ， MRI 网格槽间距≤ 5mm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23 兼容性： 支持辐射准直点插块及单个辐射点的立体辐射等中心校准，拥有独立的校准软件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24 CT分辨率： 栅线≤0.5mm（铝），间隔≤5mm并且位于插件中心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25 CT电子密度： 可快速方便地检查成像和治疗计划系统使用的CT密度表。 插入物包括：水，空气，致密骨，疏松骨和脂肪等效密度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26 探测器模块： 腔的参考尺寸2.5×8×1mm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27 CT圆柱形标记柱： 标记圆柱包含5个直径≤2mm的铝球，中心间距≤5mm，球间距≤3mm。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28 MRI圆柱形标记柱： 这些圆柱体包含5个≤2mm直径的球体，中心间距≤5mm，间距≤3mm。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29 TPS重建评估： 具备三种CT / MRI插入物，可用于验证图像融合算法的准确性，具有三个已知几何形状的CT体积插入物，具有三个不规则形状的空气体积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30 TPS融合评估： 具有三个已知几何形状的MR体积插入物，具有三个不规则形状的体积（填充物为矿物油）。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31 探测器接口： TNC接口</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32 立体定向位置精度模块： 具备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33 延长电缆： 30m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34 携带箱： 具备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35 便携式后处理工作站： 操作系统：Windows</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CPU≥i7 12代12700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显示器：32位显卡，分辨率≥1024×768</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内存≥32GB</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硬盘≥512GB SSD+2T机械硬盘</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预装条件：Microsoft Excel，管理员权限，C++,Java,matlab等</w:t>
            </w:r>
          </w:p>
        </w:tc>
      </w:tr>
    </w:tbl>
    <w:p>
      <w:pPr>
        <w:rPr>
          <w:rFonts w:hint="eastAsia" w:ascii="仿宋" w:hAnsi="仿宋" w:eastAsia="仿宋" w:cs="仿宋"/>
          <w:lang w:val="en-US" w:eastAsia="zh-CN"/>
        </w:rPr>
      </w:pPr>
      <w:r>
        <w:rPr>
          <w:rFonts w:hint="eastAsia"/>
          <w:lang w:eastAsia="zh-CN"/>
        </w:rPr>
        <w:t>质保期：</w:t>
      </w:r>
      <w:r>
        <w:rPr>
          <w:rFonts w:hint="eastAsia"/>
          <w:lang w:val="en-US" w:eastAsia="zh-CN"/>
        </w:rPr>
        <w:t>1年</w:t>
      </w:r>
      <w:r>
        <w:br w:type="page"/>
      </w:r>
    </w:p>
    <w:p>
      <w:pPr>
        <w:rPr>
          <w:rFonts w:hint="default" w:eastAsia="仿宋"/>
          <w:lang w:val="en-US" w:eastAsia="zh-CN"/>
        </w:rPr>
      </w:pPr>
      <w:bookmarkStart w:id="19" w:name="_GoBack"/>
      <w:bookmarkEnd w:id="19"/>
      <w:r>
        <w:rPr>
          <w:rFonts w:hint="eastAsia"/>
          <w:lang w:val="en-US" w:eastAsia="zh-CN"/>
        </w:rPr>
        <w:t>C包 预算14万元   数量：1套</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1597"/>
        <w:gridCol w:w="7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232"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810"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3956"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232"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c>
          <w:tcPr>
            <w:tcW w:w="810"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热释光剂量仪</w:t>
            </w:r>
          </w:p>
        </w:tc>
        <w:tc>
          <w:tcPr>
            <w:tcW w:w="3956"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一、热释光剂量仪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1.量程：0.01μGy～10Gy ；升温速率：1～40℃/s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2.加热方式：适于LiF（Mg,Cu,P）、LiF（Mg,Ti）等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3.温度恒温：400℃（最高可达600℃）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4.光源稳定度：≤0.5%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5.加热方式：电加热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6.操作模式：液晶显示屏触摸式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7.制冷技术：半导体制冷模式，恒温14±1℃</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8.输出与显示：LED显示测量参数、剂量编号及测量值；数字指示加热温度。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9.数据存储：可在仪器中保留≥5000组测量结果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10.数据处理软件系统性能要求：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（1）可由热释光测量仪接口传入数据；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（2）数据库可与Excel兼容；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（3）可实现数据、统计、分析、报告、报表功能；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（4）可接收条形码输入；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（5）数据库包括个人剂量监测所有信息，如人员编号、姓名、单位、性别、工种、佩戴日期、剂量；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（6）可自动和手工扣除本底，可对不同单位、根据监测时间自动或手工设置不同的本底扣除；</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（7）可输入每周期不同的刻度系数；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（8）自动计算，打印报告；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（9）可手工设置剂量调查水平，根据佩戴时间不同自动选择超调查水平人员，形成报表；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（10）具有缺失数据、异常数据、名义剂量的处理功能，报表中可剔除异常数据；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（11）仪器配套数据处理系统：可满足与中国人民共和国卫生部放射工作人员职业健康管理系统软件数据的一键导入，实现对接。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（12）可以通过这套软件直接打印人员条形码编码并且可以导出数据、在条码纸上或者导出的数据需有不少于： 人员编码信息：单位名称、人员名称、人员编码、条形码等。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二、退火炉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（1）热风循环系统；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（2）热电耦传感器控制温度阈；</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（3）温度连续可调；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（4）最大温度≥400℃，多点测温，炉膛内温度均匀性±3℃</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（5）铝合金外壳</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（6）可一次性退火≥400片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（7）可用于各种热释光探测器的退火；</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（8）退火后自动冷却功能；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（9）温度数字式显示。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（10）配套电子温度计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三、热释光探测器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1.探测对象：X-γ射线；成分：LiF（Mg,Cu,P）</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2.形状：圆片 ；规格：φ2×12mm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3.测量范围：1μGy—10Gy</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4.能量响应（30KeV～3MeV的光子）：＜20%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5.角度响应：＜11% ；分散性：≤2% ；重用性：无限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6.相对灵敏度（TLD-100）：62倍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7.线性范围：100nGy～12Gy；探测阈：0.1μGy</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8.数量：100片</w:t>
            </w:r>
          </w:p>
        </w:tc>
      </w:tr>
    </w:tbl>
    <w:p>
      <w:pPr>
        <w:rPr>
          <w:rFonts w:hint="default"/>
          <w:lang w:val="en-US" w:eastAsia="zh-CN"/>
        </w:rPr>
      </w:pPr>
      <w:r>
        <w:rPr>
          <w:rFonts w:hint="eastAsia"/>
          <w:lang w:val="en-US" w:eastAsia="zh-CN"/>
        </w:rPr>
        <w:t>质保期3年</w:t>
      </w:r>
    </w:p>
    <w:p>
      <w:pPr>
        <w:pStyle w:val="33"/>
        <w:spacing w:line="360" w:lineRule="auto"/>
        <w:ind w:left="0" w:leftChars="0" w:firstLine="0" w:firstLineChars="0"/>
        <w:rPr>
          <w:rFonts w:hint="eastAsia" w:ascii="仿宋" w:hAnsi="仿宋" w:eastAsia="仿宋" w:cs="仿宋"/>
          <w:b/>
          <w:color w:val="auto"/>
          <w:szCs w:val="24"/>
          <w:highlight w:val="none"/>
          <w:lang w:val="en-US" w:eastAsia="zh-CN"/>
        </w:rPr>
      </w:pPr>
    </w:p>
    <w:p>
      <w:pP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br w:type="page"/>
      </w:r>
    </w:p>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1、厂家提供免费安装、培训服务，并提供维护手册、维修手册、软件备份、故障代码表、备件清单、零部件、维修密码等维护维修必需的材料和信息。</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2、厂家工程师至少每年保养机器一次。</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3、设备相关软件终身免费升级。</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4、随机附带快速操作流程（纸质压膜）2套。</w:t>
      </w:r>
    </w:p>
    <w:p>
      <w:pPr>
        <w:pStyle w:val="2"/>
        <w:ind w:left="0" w:leftChars="0" w:firstLine="480"/>
        <w:rPr>
          <w:rFonts w:hint="eastAsia" w:ascii="仿宋" w:hAnsi="仿宋" w:eastAsia="仿宋" w:cs="仿宋"/>
          <w:b w:val="0"/>
          <w:bCs w:val="0"/>
          <w:color w:val="auto"/>
          <w:highlight w:val="none"/>
        </w:rPr>
      </w:pPr>
      <w:r>
        <w:rPr>
          <w:rFonts w:hint="eastAsia" w:ascii="仿宋" w:hAnsi="仿宋" w:eastAsia="仿宋" w:cs="仿宋"/>
          <w:b w:val="0"/>
          <w:bCs w:val="0"/>
          <w:color w:val="auto"/>
          <w:sz w:val="24"/>
          <w:szCs w:val="24"/>
          <w:highlight w:val="none"/>
        </w:rPr>
        <w:t>5、交货期：自行填写（或按甲方要求）。</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6、交货地点：严格按照国家相关要求的运输方式送到用户指定地点。</w:t>
      </w:r>
    </w:p>
    <w:p>
      <w:pPr>
        <w:rPr>
          <w:rFonts w:hint="eastAsia" w:ascii="仿宋" w:hAnsi="仿宋" w:eastAsia="仿宋" w:cs="仿宋"/>
          <w:color w:val="auto"/>
          <w:highlight w:val="none"/>
          <w:lang w:val="en-US" w:eastAsia="zh-CN"/>
        </w:rPr>
      </w:pPr>
      <w:r>
        <w:rPr>
          <w:rFonts w:hint="eastAsia" w:ascii="仿宋" w:hAnsi="仿宋" w:eastAsia="仿宋" w:cs="仿宋"/>
          <w:b w:val="0"/>
          <w:bCs w:val="0"/>
          <w:color w:val="auto"/>
          <w:sz w:val="24"/>
          <w:szCs w:val="24"/>
          <w:highlight w:val="none"/>
          <w:lang w:val="en-US" w:eastAsia="zh-CN"/>
        </w:rPr>
        <w:t>7、质保期：</w:t>
      </w:r>
      <w:r>
        <w:rPr>
          <w:rFonts w:hint="eastAsia" w:ascii="仿宋" w:hAnsi="仿宋" w:cs="仿宋"/>
          <w:b w:val="0"/>
          <w:bCs w:val="0"/>
          <w:color w:val="auto"/>
          <w:sz w:val="24"/>
          <w:szCs w:val="24"/>
          <w:highlight w:val="none"/>
          <w:lang w:val="en-US" w:eastAsia="zh-CN"/>
        </w:rPr>
        <w:t>详见参数；</w:t>
      </w:r>
    </w:p>
    <w:p>
      <w:pPr>
        <w:pStyle w:val="2"/>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8、供货地点：所有产品的供货、安装地点均由用户指定。</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付款方式：</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eastAsia="zh-CN"/>
        </w:rPr>
        <w:t>国产设备：合</w:t>
      </w:r>
      <w:r>
        <w:rPr>
          <w:rFonts w:hint="eastAsia" w:ascii="宋体" w:hAnsi="宋体" w:cs="宋体"/>
          <w:color w:val="auto"/>
          <w:sz w:val="24"/>
          <w:highlight w:val="none"/>
        </w:rPr>
        <w:t>同签订后成交供应商向采购人指定账户缴纳合同金额5%的履约保证金。在合同签订生效且具备实施条件后，成交供应商向项目负责人或指定人申请合同金额</w:t>
      </w:r>
      <w:r>
        <w:rPr>
          <w:rFonts w:hint="eastAsia" w:ascii="宋体" w:hAnsi="宋体" w:cs="宋体"/>
          <w:color w:val="auto"/>
          <w:sz w:val="24"/>
          <w:highlight w:val="none"/>
          <w:lang w:val="en-US" w:eastAsia="zh-CN"/>
        </w:rPr>
        <w:t>70</w:t>
      </w:r>
      <w:r>
        <w:rPr>
          <w:rFonts w:hint="eastAsia" w:ascii="宋体" w:hAnsi="宋体" w:cs="宋体"/>
          <w:color w:val="auto"/>
          <w:sz w:val="24"/>
          <w:highlight w:val="none"/>
        </w:rPr>
        <w:t>%的预付款，采购人确定后7个工作日内支付。项目验收合格、审计定案（若需要）后7个工作日内，支付剩余合同货款。</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进口设备：中标后合同签订前中标人向采购人指定账户缴纳合同金额5%的履约保证金。在合同签订生效且具备实施条件后，外贸公司向项目负责人或指定人申请合同金额70%的预付款，采购人确定后7个工作日内支付。信用证开立后7个工作日内，支付剩余合同货款。</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宋体" w:hAnsi="宋体" w:cs="宋体"/>
          <w:color w:val="auto"/>
          <w:sz w:val="24"/>
          <w:highlight w:val="none"/>
        </w:rPr>
        <w:t>外贸公司开具以中标人指定的国外生产商为受益人的不可撤销即期信用证，或货到后电汇。</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履约保证金提交形式：电汇形式、银行汇票、履约保函</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履约保证金在验收合格后满一年</w:t>
      </w:r>
      <w:r>
        <w:rPr>
          <w:rFonts w:hint="eastAsia" w:ascii="仿宋" w:hAnsi="仿宋" w:cs="仿宋"/>
          <w:color w:val="auto"/>
          <w:sz w:val="24"/>
          <w:highlight w:val="none"/>
          <w:lang w:eastAsia="zh-CN"/>
        </w:rPr>
        <w:t>后</w:t>
      </w:r>
      <w:r>
        <w:rPr>
          <w:rFonts w:hint="eastAsia" w:ascii="仿宋" w:hAnsi="仿宋" w:eastAsia="仿宋" w:cs="仿宋"/>
          <w:color w:val="auto"/>
          <w:sz w:val="24"/>
          <w:highlight w:val="none"/>
        </w:rPr>
        <w:t>，没有任何质量问题，由中标人向采购人提交申请，采购人根据履约情况无息退还给中标人</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2）履约保证金缴纳信息;</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户  名：山东第一医科大学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号：15126101040096666</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开户行：中国农业银行股份有限公司济南槐荫支行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3）增值税发票开具信息：</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名  称： 山东第一医科大学 </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识别号： 12370000MB2865235G</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地  址： 济南市槐荫区青岛路6699号</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电  话： 0538-6229987</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账户名称：山东第一医科大学</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  号：15518501040000160</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开户行：中国农业银行股份有限公司泰安旅游开发区分理处</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机构代码（大额支付银行行号）：103463051852</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11、外贸公司</w:t>
      </w:r>
    </w:p>
    <w:tbl>
      <w:tblPr>
        <w:tblStyle w:val="23"/>
        <w:tblW w:w="5000" w:type="pct"/>
        <w:tblInd w:w="0" w:type="dxa"/>
        <w:tblLayout w:type="fixed"/>
        <w:tblCellMar>
          <w:top w:w="0" w:type="dxa"/>
          <w:left w:w="108" w:type="dxa"/>
          <w:bottom w:w="0" w:type="dxa"/>
          <w:right w:w="108" w:type="dxa"/>
        </w:tblCellMar>
      </w:tblPr>
      <w:tblGrid>
        <w:gridCol w:w="855"/>
        <w:gridCol w:w="5274"/>
        <w:gridCol w:w="3725"/>
      </w:tblGrid>
      <w:tr>
        <w:tblPrEx>
          <w:tblCellMar>
            <w:top w:w="0" w:type="dxa"/>
            <w:left w:w="108" w:type="dxa"/>
            <w:bottom w:w="0" w:type="dxa"/>
            <w:right w:w="108" w:type="dxa"/>
          </w:tblCellMar>
        </w:tblPrEx>
        <w:trPr>
          <w:trHeight w:val="535" w:hRule="atLeast"/>
        </w:trPr>
        <w:tc>
          <w:tcPr>
            <w:tcW w:w="5000" w:type="pct"/>
            <w:gridSpan w:val="3"/>
            <w:tcBorders>
              <w:top w:val="nil"/>
              <w:left w:val="nil"/>
              <w:bottom w:val="nil"/>
              <w:right w:val="nil"/>
            </w:tcBorders>
            <w:noWrap/>
            <w:vAlign w:val="center"/>
          </w:tcPr>
          <w:p>
            <w:pPr>
              <w:widowControl/>
              <w:jc w:val="center"/>
              <w:textAlignment w:val="center"/>
              <w:rPr>
                <w:rFonts w:hint="eastAsia" w:ascii="仿宋" w:hAnsi="仿宋" w:eastAsia="仿宋" w:cs="仿宋"/>
                <w:color w:val="auto"/>
                <w:sz w:val="32"/>
                <w:szCs w:val="32"/>
                <w:highlight w:val="none"/>
              </w:rPr>
            </w:pPr>
            <w:r>
              <w:rPr>
                <w:rFonts w:hint="eastAsia" w:ascii="仿宋" w:hAnsi="仿宋" w:eastAsia="仿宋" w:cs="仿宋"/>
                <w:color w:val="auto"/>
                <w:kern w:val="0"/>
                <w:sz w:val="32"/>
                <w:szCs w:val="32"/>
                <w:highlight w:val="none"/>
                <w:lang w:bidi="ar"/>
              </w:rPr>
              <w:t>外贸代理价格</w:t>
            </w:r>
          </w:p>
        </w:tc>
      </w:tr>
      <w:tr>
        <w:tblPrEx>
          <w:tblCellMar>
            <w:top w:w="0" w:type="dxa"/>
            <w:left w:w="108" w:type="dxa"/>
            <w:bottom w:w="0" w:type="dxa"/>
            <w:right w:w="108" w:type="dxa"/>
          </w:tblCellMar>
        </w:tblPrEx>
        <w:trPr>
          <w:trHeight w:val="620"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ind w:left="0" w:leftChars="0" w:firstLine="0" w:firstLineChars="0"/>
              <w:jc w:val="both"/>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序号</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分段</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ind w:firstLine="480" w:firstLineChars="200"/>
              <w:jc w:val="center"/>
              <w:rPr>
                <w:rFonts w:hint="eastAsia" w:ascii="仿宋" w:hAnsi="仿宋" w:eastAsia="仿宋" w:cs="仿宋"/>
                <w:color w:val="auto"/>
                <w:sz w:val="24"/>
                <w:highlight w:val="none"/>
              </w:rPr>
            </w:pPr>
            <w:r>
              <w:rPr>
                <w:rFonts w:hint="eastAsia"/>
                <w:color w:val="auto"/>
                <w:sz w:val="24"/>
                <w:szCs w:val="24"/>
                <w:highlight w:val="none"/>
              </w:rPr>
              <w:t>山东润文国际经贸有限公司</w:t>
            </w:r>
          </w:p>
        </w:tc>
      </w:tr>
      <w:tr>
        <w:tblPrEx>
          <w:tblCellMar>
            <w:top w:w="0" w:type="dxa"/>
            <w:left w:w="108" w:type="dxa"/>
            <w:bottom w:w="0" w:type="dxa"/>
            <w:right w:w="108" w:type="dxa"/>
          </w:tblCellMar>
        </w:tblPrEx>
        <w:trPr>
          <w:trHeight w:val="658"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1</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合同金额在30万元以下（含）</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1.50%</w:t>
            </w:r>
          </w:p>
        </w:tc>
      </w:tr>
      <w:tr>
        <w:tblPrEx>
          <w:tblCellMar>
            <w:top w:w="0" w:type="dxa"/>
            <w:left w:w="108" w:type="dxa"/>
            <w:bottom w:w="0" w:type="dxa"/>
            <w:right w:w="108" w:type="dxa"/>
          </w:tblCellMar>
        </w:tblPrEx>
        <w:trPr>
          <w:trHeight w:val="630"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2</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合同金额在30万元以上80万元以下（含）</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1.40%</w:t>
            </w:r>
          </w:p>
        </w:tc>
      </w:tr>
      <w:tr>
        <w:tblPrEx>
          <w:tblCellMar>
            <w:top w:w="0" w:type="dxa"/>
            <w:left w:w="108" w:type="dxa"/>
            <w:bottom w:w="0" w:type="dxa"/>
            <w:right w:w="108" w:type="dxa"/>
          </w:tblCellMar>
        </w:tblPrEx>
        <w:trPr>
          <w:trHeight w:val="630"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3</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合同金额在80万元以上300万元以下（含）</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1.00%</w:t>
            </w:r>
          </w:p>
        </w:tc>
      </w:tr>
      <w:tr>
        <w:tblPrEx>
          <w:tblCellMar>
            <w:top w:w="0" w:type="dxa"/>
            <w:left w:w="108" w:type="dxa"/>
            <w:bottom w:w="0" w:type="dxa"/>
            <w:right w:w="108" w:type="dxa"/>
          </w:tblCellMar>
        </w:tblPrEx>
        <w:trPr>
          <w:trHeight w:val="559"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4</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合同金额在300万元以上1000万元以下（含）</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0.60%</w:t>
            </w:r>
          </w:p>
        </w:tc>
      </w:tr>
      <w:tr>
        <w:tblPrEx>
          <w:tblCellMar>
            <w:top w:w="0" w:type="dxa"/>
            <w:left w:w="108" w:type="dxa"/>
            <w:bottom w:w="0" w:type="dxa"/>
            <w:right w:w="108" w:type="dxa"/>
          </w:tblCellMar>
        </w:tblPrEx>
        <w:trPr>
          <w:trHeight w:val="626"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5</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合同金额在1000万元以上</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0.40%</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以上代理服务费为从签订三方合同到设备到甲方期间所产生的全部费用，含代办免税、批件手续以及有关进口环节发生的费用(如银行用费用、报关费、仓储费、送货费等)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海运设备及大型超重设备的运费及装卸费用,由外贸代理服务商与中标商另行商议。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代理服务费不含海关根据政策不批准免税所发生的海关税费。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其他特殊情况产生的费用,由甲方同外贸代理服务商双方协商决定。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Cs w:val="24"/>
          <w:highlight w:val="none"/>
          <w:lang w:val="en-US" w:eastAsia="zh-CN"/>
        </w:rPr>
      </w:pP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、若有其他优惠请自报。</w:t>
      </w:r>
    </w:p>
    <w:sectPr>
      <w:pgSz w:w="11906" w:h="16838"/>
      <w:pgMar w:top="1134" w:right="992" w:bottom="1440" w:left="1276" w:header="851" w:footer="992" w:gutter="0"/>
      <w:cols w:space="0" w:num="1"/>
      <w:rtlGutter w:val="0"/>
      <w:docGrid w:type="lines"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7"/>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965EEB"/>
    <w:multiLevelType w:val="singleLevel"/>
    <w:tmpl w:val="CE965EE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420"/>
  <w:drawingGridHorizontalSpacing w:val="120"/>
  <w:drawingGridVerticalSpacing w:val="166"/>
  <w:displayHorizontalDrawingGridEvery w:val="1"/>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0E16"/>
    <w:rsid w:val="000245AA"/>
    <w:rsid w:val="000267F3"/>
    <w:rsid w:val="00032E74"/>
    <w:rsid w:val="00036B9A"/>
    <w:rsid w:val="00037FCC"/>
    <w:rsid w:val="00046FA1"/>
    <w:rsid w:val="0004785D"/>
    <w:rsid w:val="00063ED9"/>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47B43"/>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56D6"/>
    <w:rsid w:val="00E96948"/>
    <w:rsid w:val="00E97ED7"/>
    <w:rsid w:val="00EA1CDC"/>
    <w:rsid w:val="00EA421B"/>
    <w:rsid w:val="00EA467B"/>
    <w:rsid w:val="00EA78BF"/>
    <w:rsid w:val="00EC585D"/>
    <w:rsid w:val="00ED0B35"/>
    <w:rsid w:val="00ED6C74"/>
    <w:rsid w:val="00EE327B"/>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3877628"/>
    <w:rsid w:val="055359A5"/>
    <w:rsid w:val="0562071E"/>
    <w:rsid w:val="059F550F"/>
    <w:rsid w:val="067F5B8E"/>
    <w:rsid w:val="0945226B"/>
    <w:rsid w:val="0D9E6B6D"/>
    <w:rsid w:val="110F5F23"/>
    <w:rsid w:val="119B16ED"/>
    <w:rsid w:val="11DE0500"/>
    <w:rsid w:val="12A367ED"/>
    <w:rsid w:val="154E20EE"/>
    <w:rsid w:val="159B2240"/>
    <w:rsid w:val="15C460B5"/>
    <w:rsid w:val="1A7B6F13"/>
    <w:rsid w:val="1AAE34C5"/>
    <w:rsid w:val="1AF71A23"/>
    <w:rsid w:val="1B921814"/>
    <w:rsid w:val="1B9A2A3D"/>
    <w:rsid w:val="1BDC38CD"/>
    <w:rsid w:val="1D2B3667"/>
    <w:rsid w:val="1E933D30"/>
    <w:rsid w:val="23547885"/>
    <w:rsid w:val="260F6A7F"/>
    <w:rsid w:val="29420625"/>
    <w:rsid w:val="29FB3BB8"/>
    <w:rsid w:val="2A97000B"/>
    <w:rsid w:val="2B793244"/>
    <w:rsid w:val="2BD01A9C"/>
    <w:rsid w:val="2BD650E5"/>
    <w:rsid w:val="2CD9399D"/>
    <w:rsid w:val="2DFB6BFF"/>
    <w:rsid w:val="2E560F6F"/>
    <w:rsid w:val="30127023"/>
    <w:rsid w:val="319D2D23"/>
    <w:rsid w:val="33751F41"/>
    <w:rsid w:val="33CD0C81"/>
    <w:rsid w:val="367100EE"/>
    <w:rsid w:val="380C3E1A"/>
    <w:rsid w:val="390F5ADC"/>
    <w:rsid w:val="39B746CA"/>
    <w:rsid w:val="3AAA02EE"/>
    <w:rsid w:val="3B1B578B"/>
    <w:rsid w:val="3CD04444"/>
    <w:rsid w:val="3D531176"/>
    <w:rsid w:val="3D860DFB"/>
    <w:rsid w:val="49724248"/>
    <w:rsid w:val="4C803E8D"/>
    <w:rsid w:val="4D9A32B2"/>
    <w:rsid w:val="4F373AFF"/>
    <w:rsid w:val="4F8E4934"/>
    <w:rsid w:val="51843E09"/>
    <w:rsid w:val="54C849A4"/>
    <w:rsid w:val="54EA2115"/>
    <w:rsid w:val="556F5ADF"/>
    <w:rsid w:val="571D0F49"/>
    <w:rsid w:val="57C01E34"/>
    <w:rsid w:val="598E00B2"/>
    <w:rsid w:val="59EF71EF"/>
    <w:rsid w:val="5B037419"/>
    <w:rsid w:val="5D902A97"/>
    <w:rsid w:val="619F5A9B"/>
    <w:rsid w:val="631D6B7A"/>
    <w:rsid w:val="63C611BD"/>
    <w:rsid w:val="65D7099C"/>
    <w:rsid w:val="667A3C6D"/>
    <w:rsid w:val="6B0A211F"/>
    <w:rsid w:val="70DC1201"/>
    <w:rsid w:val="785C076E"/>
    <w:rsid w:val="78A92B1B"/>
    <w:rsid w:val="78C30BB9"/>
    <w:rsid w:val="792A74E8"/>
    <w:rsid w:val="7B885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4">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32"/>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45"/>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link w:val="30"/>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List 3"/>
    <w:basedOn w:val="1"/>
    <w:qFormat/>
    <w:uiPriority w:val="0"/>
    <w:pPr>
      <w:ind w:left="100" w:leftChars="400" w:hanging="200" w:hangingChars="200"/>
    </w:pPr>
  </w:style>
  <w:style w:type="paragraph" w:styleId="8">
    <w:name w:val="Normal Indent"/>
    <w:basedOn w:val="1"/>
    <w:unhideWhenUsed/>
    <w:qFormat/>
    <w:uiPriority w:val="0"/>
    <w:pPr>
      <w:ind w:firstLine="420"/>
    </w:pPr>
  </w:style>
  <w:style w:type="paragraph" w:styleId="9">
    <w:name w:val="caption"/>
    <w:basedOn w:val="1"/>
    <w:next w:val="1"/>
    <w:qFormat/>
    <w:uiPriority w:val="0"/>
    <w:pPr>
      <w:spacing w:before="152" w:after="160"/>
    </w:pPr>
    <w:rPr>
      <w:rFonts w:ascii="Arial" w:hAnsi="Arial" w:eastAsia="黑体" w:cs="Arial"/>
      <w:sz w:val="20"/>
    </w:rPr>
  </w:style>
  <w:style w:type="paragraph" w:styleId="10">
    <w:name w:val="annotation text"/>
    <w:basedOn w:val="1"/>
    <w:link w:val="43"/>
    <w:qFormat/>
    <w:uiPriority w:val="99"/>
    <w:pPr>
      <w:spacing w:line="240" w:lineRule="auto"/>
      <w:ind w:firstLine="0" w:firstLineChars="0"/>
    </w:pPr>
    <w:rPr>
      <w:rFonts w:ascii="Times New Roman" w:hAnsi="Times New Roman" w:eastAsiaTheme="minorEastAsia" w:cstheme="minorBidi"/>
      <w:sz w:val="21"/>
      <w:szCs w:val="24"/>
    </w:rPr>
  </w:style>
  <w:style w:type="paragraph" w:styleId="11">
    <w:name w:val="Body Text 3"/>
    <w:basedOn w:val="1"/>
    <w:link w:val="37"/>
    <w:semiHidden/>
    <w:unhideWhenUsed/>
    <w:qFormat/>
    <w:uiPriority w:val="99"/>
    <w:pPr>
      <w:spacing w:after="120"/>
    </w:pPr>
    <w:rPr>
      <w:sz w:val="16"/>
      <w:szCs w:val="16"/>
    </w:rPr>
  </w:style>
  <w:style w:type="paragraph" w:styleId="12">
    <w:name w:val="Body Text"/>
    <w:basedOn w:val="1"/>
    <w:qFormat/>
    <w:uiPriority w:val="0"/>
    <w:pPr>
      <w:spacing w:after="120"/>
    </w:pPr>
  </w:style>
  <w:style w:type="paragraph" w:styleId="13">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4">
    <w:name w:val="Plain Text"/>
    <w:basedOn w:val="1"/>
    <w:link w:val="38"/>
    <w:qFormat/>
    <w:uiPriority w:val="0"/>
    <w:rPr>
      <w:rFonts w:ascii="宋体" w:hAnsi="Courier New" w:eastAsia="宋体"/>
      <w:sz w:val="21"/>
    </w:rPr>
  </w:style>
  <w:style w:type="paragraph" w:styleId="15">
    <w:name w:val="Body Text Indent 2"/>
    <w:basedOn w:val="1"/>
    <w:qFormat/>
    <w:uiPriority w:val="0"/>
    <w:pPr>
      <w:spacing w:line="500" w:lineRule="exact"/>
      <w:ind w:firstLine="442"/>
    </w:pPr>
  </w:style>
  <w:style w:type="paragraph" w:styleId="16">
    <w:name w:val="Balloon Text"/>
    <w:basedOn w:val="1"/>
    <w:link w:val="42"/>
    <w:semiHidden/>
    <w:unhideWhenUsed/>
    <w:qFormat/>
    <w:uiPriority w:val="99"/>
    <w:pPr>
      <w:spacing w:line="240" w:lineRule="auto"/>
    </w:pPr>
    <w:rPr>
      <w:sz w:val="18"/>
      <w:szCs w:val="18"/>
    </w:rPr>
  </w:style>
  <w:style w:type="paragraph" w:styleId="17">
    <w:name w:val="footer"/>
    <w:basedOn w:val="1"/>
    <w:link w:val="29"/>
    <w:unhideWhenUsed/>
    <w:qFormat/>
    <w:uiPriority w:val="99"/>
    <w:pPr>
      <w:tabs>
        <w:tab w:val="center" w:pos="4153"/>
        <w:tab w:val="right" w:pos="8306"/>
      </w:tabs>
      <w:snapToGrid w:val="0"/>
    </w:pPr>
    <w:rPr>
      <w:sz w:val="18"/>
      <w:szCs w:val="18"/>
    </w:rPr>
  </w:style>
  <w:style w:type="paragraph" w:styleId="18">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rPr>
      <w:rFonts w:ascii="Times New Roman" w:hAnsi="Times New Roman"/>
    </w:rPr>
  </w:style>
  <w:style w:type="paragraph" w:styleId="20">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21">
    <w:name w:val="toc 2"/>
    <w:basedOn w:val="1"/>
    <w:next w:val="1"/>
    <w:unhideWhenUsed/>
    <w:qFormat/>
    <w:uiPriority w:val="39"/>
    <w:pPr>
      <w:ind w:left="200" w:leftChars="200"/>
    </w:pPr>
    <w:rPr>
      <w:rFonts w:ascii="Times New Roman" w:hAnsi="Times New Roman"/>
    </w:rPr>
  </w:style>
  <w:style w:type="paragraph" w:styleId="22">
    <w:name w:val="Normal (Web)"/>
    <w:basedOn w:val="1"/>
    <w:qFormat/>
    <w:uiPriority w:val="0"/>
    <w:pPr>
      <w:widowControl/>
      <w:spacing w:before="100" w:beforeAutospacing="1" w:after="100" w:afterAutospacing="1"/>
    </w:pPr>
    <w:rPr>
      <w:rFonts w:ascii="宋体" w:hAnsi="宋体" w:cs="宋体"/>
      <w:kern w:val="0"/>
      <w:szCs w:val="24"/>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rPr>
  </w:style>
  <w:style w:type="character" w:styleId="27">
    <w:name w:val="Hyperlink"/>
    <w:basedOn w:val="25"/>
    <w:unhideWhenUsed/>
    <w:qFormat/>
    <w:uiPriority w:val="99"/>
    <w:rPr>
      <w:color w:val="0000FF" w:themeColor="hyperlink"/>
      <w:u w:val="single"/>
      <w14:textFill>
        <w14:solidFill>
          <w14:schemeClr w14:val="hlink"/>
        </w14:solidFill>
      </w14:textFill>
    </w:rPr>
  </w:style>
  <w:style w:type="character" w:customStyle="1" w:styleId="28">
    <w:name w:val="页眉 字符"/>
    <w:basedOn w:val="25"/>
    <w:link w:val="18"/>
    <w:qFormat/>
    <w:uiPriority w:val="99"/>
    <w:rPr>
      <w:sz w:val="18"/>
      <w:szCs w:val="18"/>
    </w:rPr>
  </w:style>
  <w:style w:type="character" w:customStyle="1" w:styleId="29">
    <w:name w:val="页脚 字符"/>
    <w:basedOn w:val="25"/>
    <w:link w:val="17"/>
    <w:qFormat/>
    <w:uiPriority w:val="99"/>
    <w:rPr>
      <w:sz w:val="18"/>
      <w:szCs w:val="18"/>
    </w:rPr>
  </w:style>
  <w:style w:type="character" w:customStyle="1" w:styleId="30">
    <w:name w:val="正文文本缩进 字符"/>
    <w:link w:val="3"/>
    <w:qFormat/>
    <w:uiPriority w:val="99"/>
    <w:rPr>
      <w:rFonts w:ascii="Times New Roman" w:hAnsi="Times New Roman"/>
    </w:rPr>
  </w:style>
  <w:style w:type="character" w:customStyle="1" w:styleId="31">
    <w:name w:val="正文文本缩进 Char1"/>
    <w:basedOn w:val="25"/>
    <w:semiHidden/>
    <w:qFormat/>
    <w:uiPriority w:val="99"/>
    <w:rPr>
      <w:rFonts w:ascii="Calibri" w:hAnsi="Calibri" w:eastAsia="仿宋" w:cs="Times New Roman"/>
      <w:sz w:val="24"/>
      <w:szCs w:val="20"/>
    </w:rPr>
  </w:style>
  <w:style w:type="character" w:customStyle="1" w:styleId="32">
    <w:name w:val="标题 4 字符"/>
    <w:basedOn w:val="25"/>
    <w:link w:val="6"/>
    <w:qFormat/>
    <w:uiPriority w:val="9"/>
    <w:rPr>
      <w:rFonts w:asciiTheme="majorHAnsi" w:hAnsiTheme="majorHAnsi" w:eastAsiaTheme="majorEastAsia" w:cstheme="majorBidi"/>
      <w:b/>
      <w:bCs/>
      <w:sz w:val="28"/>
      <w:szCs w:val="28"/>
    </w:rPr>
  </w:style>
  <w:style w:type="paragraph" w:styleId="33">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4">
    <w:name w:val="标题 2 字符"/>
    <w:basedOn w:val="25"/>
    <w:link w:val="5"/>
    <w:qFormat/>
    <w:uiPriority w:val="0"/>
    <w:rPr>
      <w:rFonts w:asciiTheme="majorHAnsi" w:hAnsiTheme="majorHAnsi" w:eastAsiaTheme="majorEastAsia" w:cstheme="majorBidi"/>
      <w:b/>
      <w:bCs/>
      <w:sz w:val="32"/>
      <w:szCs w:val="32"/>
    </w:rPr>
  </w:style>
  <w:style w:type="paragraph" w:customStyle="1" w:styleId="35">
    <w:name w:val="默认段落字体 Para Char Char Char Char Char Char Char Char Char1 Char Char Char Char"/>
    <w:basedOn w:val="1"/>
    <w:qFormat/>
    <w:uiPriority w:val="0"/>
    <w:rPr>
      <w:rFonts w:ascii="Tahoma" w:hAnsi="Tahoma"/>
    </w:rPr>
  </w:style>
  <w:style w:type="character" w:customStyle="1" w:styleId="36">
    <w:name w:val="标题 1 字符"/>
    <w:basedOn w:val="25"/>
    <w:link w:val="4"/>
    <w:qFormat/>
    <w:uiPriority w:val="9"/>
    <w:rPr>
      <w:rFonts w:ascii="Calibri" w:hAnsi="Calibri" w:eastAsia="仿宋" w:cs="Times New Roman"/>
      <w:b/>
      <w:bCs/>
      <w:kern w:val="44"/>
      <w:sz w:val="44"/>
      <w:szCs w:val="44"/>
    </w:rPr>
  </w:style>
  <w:style w:type="character" w:customStyle="1" w:styleId="37">
    <w:name w:val="正文文本 3 字符"/>
    <w:basedOn w:val="25"/>
    <w:link w:val="11"/>
    <w:semiHidden/>
    <w:qFormat/>
    <w:uiPriority w:val="99"/>
    <w:rPr>
      <w:rFonts w:ascii="Calibri" w:hAnsi="Calibri" w:eastAsia="仿宋" w:cs="Times New Roman"/>
      <w:sz w:val="16"/>
      <w:szCs w:val="16"/>
    </w:rPr>
  </w:style>
  <w:style w:type="character" w:customStyle="1" w:styleId="38">
    <w:name w:val="纯文本 字符"/>
    <w:link w:val="14"/>
    <w:qFormat/>
    <w:locked/>
    <w:uiPriority w:val="0"/>
    <w:rPr>
      <w:rFonts w:ascii="宋体" w:hAnsi="Courier New" w:eastAsia="宋体" w:cs="Times New Roman"/>
      <w:szCs w:val="20"/>
    </w:rPr>
  </w:style>
  <w:style w:type="character" w:customStyle="1" w:styleId="39">
    <w:name w:val="纯文本 Char"/>
    <w:basedOn w:val="25"/>
    <w:semiHidden/>
    <w:qFormat/>
    <w:uiPriority w:val="99"/>
    <w:rPr>
      <w:rFonts w:ascii="宋体" w:hAnsi="Courier New" w:eastAsia="宋体" w:cs="Courier New"/>
      <w:szCs w:val="21"/>
    </w:rPr>
  </w:style>
  <w:style w:type="paragraph" w:customStyle="1" w:styleId="40">
    <w:name w:val="表内文字"/>
    <w:basedOn w:val="1"/>
    <w:qFormat/>
    <w:uiPriority w:val="0"/>
    <w:pPr>
      <w:tabs>
        <w:tab w:val="left" w:pos="1418"/>
      </w:tabs>
      <w:jc w:val="center"/>
    </w:pPr>
    <w:rPr>
      <w:rFonts w:ascii="仿宋_GB2312" w:eastAsia="仿宋_GB2312"/>
      <w:spacing w:val="-20"/>
      <w:kern w:val="0"/>
      <w:szCs w:val="24"/>
    </w:rPr>
  </w:style>
  <w:style w:type="character" w:customStyle="1" w:styleId="41">
    <w:name w:val="正文首行缩进 2 Char"/>
    <w:semiHidden/>
    <w:qFormat/>
    <w:uiPriority w:val="99"/>
    <w:rPr>
      <w:rFonts w:ascii="Times New Roman" w:hAnsi="Times New Roman" w:eastAsia="仿宋"/>
      <w:kern w:val="2"/>
      <w:sz w:val="24"/>
    </w:rPr>
  </w:style>
  <w:style w:type="character" w:customStyle="1" w:styleId="42">
    <w:name w:val="批注框文本 字符"/>
    <w:basedOn w:val="25"/>
    <w:link w:val="16"/>
    <w:semiHidden/>
    <w:qFormat/>
    <w:uiPriority w:val="99"/>
    <w:rPr>
      <w:rFonts w:ascii="Calibri" w:hAnsi="Calibri" w:eastAsia="仿宋"/>
      <w:kern w:val="2"/>
      <w:sz w:val="18"/>
      <w:szCs w:val="18"/>
    </w:rPr>
  </w:style>
  <w:style w:type="character" w:customStyle="1" w:styleId="43">
    <w:name w:val="批注文字 字符"/>
    <w:basedOn w:val="25"/>
    <w:link w:val="10"/>
    <w:qFormat/>
    <w:uiPriority w:val="99"/>
    <w:rPr>
      <w:rFonts w:eastAsiaTheme="minorEastAsia" w:cstheme="minorBidi"/>
      <w:kern w:val="2"/>
      <w:sz w:val="21"/>
      <w:szCs w:val="24"/>
    </w:rPr>
  </w:style>
  <w:style w:type="paragraph" w:customStyle="1" w:styleId="44">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5">
    <w:name w:val="正文文本首行缩进 2 字符"/>
    <w:basedOn w:val="30"/>
    <w:link w:val="2"/>
    <w:semiHidden/>
    <w:qFormat/>
    <w:uiPriority w:val="99"/>
    <w:rPr>
      <w:rFonts w:ascii="Calibri" w:hAnsi="Calibri" w:eastAsia="仿宋"/>
      <w:kern w:val="2"/>
      <w:sz w:val="24"/>
    </w:rPr>
  </w:style>
  <w:style w:type="paragraph" w:customStyle="1" w:styleId="46">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7">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character" w:customStyle="1" w:styleId="48">
    <w:name w:val="font81"/>
    <w:basedOn w:val="25"/>
    <w:qFormat/>
    <w:uiPriority w:val="0"/>
    <w:rPr>
      <w:rFonts w:hint="eastAsia" w:ascii="宋体" w:hAnsi="宋体" w:eastAsia="宋体" w:cs="宋体"/>
      <w:color w:val="000000"/>
      <w:sz w:val="22"/>
      <w:szCs w:val="22"/>
      <w:u w:val="none"/>
    </w:rPr>
  </w:style>
  <w:style w:type="character" w:customStyle="1" w:styleId="49">
    <w:name w:val="font01"/>
    <w:basedOn w:val="25"/>
    <w:qFormat/>
    <w:uiPriority w:val="0"/>
    <w:rPr>
      <w:rFonts w:hint="default" w:ascii="Times New Roman" w:hAnsi="Times New Roman" w:cs="Times New Roman"/>
      <w:color w:val="000000"/>
      <w:sz w:val="22"/>
      <w:szCs w:val="22"/>
      <w:u w:val="none"/>
    </w:rPr>
  </w:style>
  <w:style w:type="character" w:customStyle="1" w:styleId="50">
    <w:name w:val="font31"/>
    <w:basedOn w:val="25"/>
    <w:qFormat/>
    <w:uiPriority w:val="0"/>
    <w:rPr>
      <w:rFonts w:hint="eastAsia" w:ascii="宋体" w:hAnsi="宋体" w:eastAsia="宋体" w:cs="宋体"/>
      <w:color w:val="000000"/>
      <w:sz w:val="22"/>
      <w:szCs w:val="22"/>
      <w:u w:val="none"/>
    </w:rPr>
  </w:style>
  <w:style w:type="character" w:customStyle="1" w:styleId="51">
    <w:name w:val="font12"/>
    <w:basedOn w:val="25"/>
    <w:qFormat/>
    <w:uiPriority w:val="0"/>
    <w:rPr>
      <w:rFonts w:ascii="仿宋" w:hAnsi="仿宋" w:eastAsia="仿宋" w:cs="仿宋"/>
      <w:color w:val="000000"/>
      <w:sz w:val="24"/>
      <w:szCs w:val="24"/>
      <w:u w:val="none"/>
    </w:rPr>
  </w:style>
  <w:style w:type="character" w:customStyle="1" w:styleId="52">
    <w:name w:val="font51"/>
    <w:basedOn w:val="25"/>
    <w:qFormat/>
    <w:uiPriority w:val="0"/>
    <w:rPr>
      <w:rFonts w:hint="default" w:ascii="Times New Roman" w:hAnsi="Times New Roman" w:cs="Times New Roman"/>
      <w:color w:val="000000"/>
      <w:sz w:val="22"/>
      <w:szCs w:val="22"/>
      <w:u w:val="none"/>
    </w:rPr>
  </w:style>
  <w:style w:type="character" w:customStyle="1" w:styleId="53">
    <w:name w:val="font71"/>
    <w:basedOn w:val="25"/>
    <w:qFormat/>
    <w:uiPriority w:val="0"/>
    <w:rPr>
      <w:rFonts w:hint="default" w:ascii="Times New Roman" w:hAnsi="Times New Roman" w:cs="Times New Roman"/>
      <w:color w:val="000000"/>
      <w:sz w:val="22"/>
      <w:szCs w:val="22"/>
      <w:u w:val="none"/>
    </w:rPr>
  </w:style>
  <w:style w:type="character" w:customStyle="1" w:styleId="54">
    <w:name w:val="font91"/>
    <w:basedOn w:val="25"/>
    <w:qFormat/>
    <w:uiPriority w:val="0"/>
    <w:rPr>
      <w:rFonts w:hint="eastAsia" w:ascii="宋体" w:hAnsi="宋体" w:eastAsia="宋体" w:cs="宋体"/>
      <w:color w:val="000000"/>
      <w:sz w:val="22"/>
      <w:szCs w:val="22"/>
      <w:u w:val="none"/>
    </w:rPr>
  </w:style>
  <w:style w:type="character" w:customStyle="1" w:styleId="55">
    <w:name w:val="font111"/>
    <w:basedOn w:val="25"/>
    <w:qFormat/>
    <w:uiPriority w:val="0"/>
    <w:rPr>
      <w:rFonts w:ascii="Wingdings 2" w:hAnsi="Wingdings 2" w:eastAsia="Wingdings 2" w:cs="Wingdings 2"/>
      <w:color w:val="000000"/>
      <w:sz w:val="22"/>
      <w:szCs w:val="22"/>
      <w:u w:val="none"/>
    </w:rPr>
  </w:style>
  <w:style w:type="character" w:customStyle="1" w:styleId="56">
    <w:name w:val="font122"/>
    <w:basedOn w:val="25"/>
    <w:qFormat/>
    <w:uiPriority w:val="0"/>
    <w:rPr>
      <w:rFonts w:hint="default" w:ascii="Wingdings 2" w:hAnsi="Wingdings 2" w:eastAsia="Wingdings 2" w:cs="Wingdings 2"/>
      <w:color w:val="000000"/>
      <w:sz w:val="22"/>
      <w:szCs w:val="22"/>
      <w:u w:val="none"/>
    </w:rPr>
  </w:style>
  <w:style w:type="character" w:customStyle="1" w:styleId="57">
    <w:name w:val="font11"/>
    <w:basedOn w:val="25"/>
    <w:qFormat/>
    <w:uiPriority w:val="0"/>
    <w:rPr>
      <w:rFonts w:hint="eastAsia" w:ascii="宋体" w:hAnsi="宋体" w:eastAsia="宋体" w:cs="宋体"/>
      <w:b/>
      <w:bCs/>
      <w:color w:val="000000"/>
      <w:sz w:val="32"/>
      <w:szCs w:val="32"/>
      <w:u w:val="none"/>
    </w:rPr>
  </w:style>
  <w:style w:type="paragraph" w:customStyle="1" w:styleId="58">
    <w:name w:val="列出段落1"/>
    <w:basedOn w:val="1"/>
    <w:qFormat/>
    <w:uiPriority w:val="0"/>
    <w:pPr>
      <w:ind w:firstLine="420" w:firstLineChars="200"/>
    </w:pPr>
    <w:rPr>
      <w:rFonts w:ascii="Calibri" w:hAnsi="Calibri"/>
      <w:szCs w:val="22"/>
    </w:rPr>
  </w:style>
  <w:style w:type="character" w:customStyle="1" w:styleId="59">
    <w:name w:val="font61"/>
    <w:basedOn w:val="25"/>
    <w:qFormat/>
    <w:uiPriority w:val="0"/>
    <w:rPr>
      <w:rFonts w:hint="eastAsia" w:ascii="宋体" w:hAnsi="宋体" w:eastAsia="宋体" w:cs="宋体"/>
      <w:color w:val="000000"/>
      <w:sz w:val="24"/>
      <w:szCs w:val="24"/>
      <w:u w:val="none"/>
    </w:rPr>
  </w:style>
  <w:style w:type="paragraph" w:customStyle="1" w:styleId="60">
    <w:name w:val="纯文本1"/>
    <w:basedOn w:val="14"/>
    <w:qFormat/>
    <w:uiPriority w:val="0"/>
    <w:pPr>
      <w:spacing w:after="0" w:line="220" w:lineRule="atLeast"/>
      <w:jc w:val="center"/>
    </w:pPr>
    <w:rPr>
      <w:rFonts w:ascii="仿宋" w:hAnsi="仿宋" w:eastAsia="仿宋"/>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19</Pages>
  <Words>9689</Words>
  <Characters>10869</Characters>
  <Lines>56</Lines>
  <Paragraphs>15</Paragraphs>
  <TotalTime>58</TotalTime>
  <ScaleCrop>false</ScaleCrop>
  <LinksUpToDate>false</LinksUpToDate>
  <CharactersWithSpaces>11145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2023-07-25T07:50:30Z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1F22F1786A93455F93903A7E0DE4C4E3_13</vt:lpwstr>
  </property>
</Properties>
</file>